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编号：57013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框 1045" o:spid="_x0000_s1026" type="#_x0000_t75" style="height:70.15pt;width:86.9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“银行、农村信用社、兑换机构及非金融机构等结汇、售汇业务市场准入、退出审批”行政审批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hint="eastAsia"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hint="eastAsia"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吉林省分局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项目名称：银行、农村信用社、兑换机构及非金融机构等结汇、售汇业务市场准入、退出审批；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项目编号：57013；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本指南适用于“银行、农村信用社、兑换机构及非金融机构等结汇、售汇业务市场准入、退出审批”的申请和办理。</w:t>
      </w:r>
    </w:p>
    <w:p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  <w:r>
        <w:rPr>
          <w:rFonts w:ascii="Times New Roman" w:hAnsi="Times New Roman" w:eastAsia="黑体" w:cs="Times New Roman"/>
          <w:sz w:val="30"/>
          <w:szCs w:val="30"/>
        </w:rPr>
        <w:tab/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（二）《中华人民共和国外汇管理条例》（国务院令第532号）第五十三条：“非金融机构经营结汇、售汇业务，应当由国务院外汇管理部门批准，具体管理办法由国务院外汇管理部门另行制定”。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四、银行（含农村信用社）即期结售汇业务市场准入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2.《银行办理结售汇业务管理办法》（中国人民银行令</w:t>
      </w:r>
      <w:r>
        <w:rPr>
          <w:rFonts w:ascii="Times New Roman" w:hAnsi="Times New Roman" w:eastAsia="仿宋_GB2312" w:cs="Times New Roman"/>
          <w:sz w:val="30"/>
        </w:rPr>
        <w:t>〔2014〕</w:t>
      </w:r>
      <w:r>
        <w:rPr>
          <w:rFonts w:ascii="Times New Roman" w:hAnsi="Times New Roman" w:eastAsia="仿宋_GB2312" w:cs="Times New Roman"/>
          <w:sz w:val="30"/>
          <w:szCs w:val="30"/>
        </w:rPr>
        <w:t>第2号）；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3.《国家外汇管理局关于印发〈银行办理结售汇业务管理办法实施细则〉的通知》（汇发</w:t>
      </w:r>
      <w:r>
        <w:rPr>
          <w:rFonts w:ascii="Times New Roman" w:hAnsi="Times New Roman" w:eastAsia="仿宋_GB2312" w:cs="Times New Roman"/>
          <w:sz w:val="30"/>
        </w:rPr>
        <w:t>〔2014〕</w:t>
      </w:r>
      <w:r>
        <w:rPr>
          <w:rFonts w:ascii="Times New Roman" w:hAnsi="Times New Roman" w:eastAsia="仿宋_GB2312" w:cs="Times New Roman"/>
          <w:sz w:val="30"/>
          <w:szCs w:val="30"/>
        </w:rPr>
        <w:t>53号）。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1.银行总行。政策性银行、全国性商业银行，向国家外汇管理局申请；其他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所在地在吉林省的</w:t>
      </w:r>
      <w:r>
        <w:rPr>
          <w:rFonts w:ascii="Times New Roman" w:hAnsi="Times New Roman" w:eastAsia="仿宋_GB2312" w:cs="Times New Roman"/>
          <w:sz w:val="30"/>
          <w:szCs w:val="30"/>
        </w:rPr>
        <w:t>银行向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国家外汇管理局吉林省分局</w:t>
      </w:r>
      <w:r>
        <w:rPr>
          <w:rFonts w:ascii="Times New Roman" w:hAnsi="Times New Roman" w:eastAsia="仿宋_GB2312" w:cs="Times New Roman"/>
          <w:sz w:val="30"/>
          <w:szCs w:val="30"/>
        </w:rPr>
        <w:t>申请，如处于市（地、州、区）、县，应向所在地国家外汇管理局中心支局或支局申请，并逐级上报至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国家外汇管理局吉林省分局</w:t>
      </w:r>
      <w:r>
        <w:rPr>
          <w:rFonts w:ascii="Times New Roman" w:hAnsi="Times New Roman" w:eastAsia="仿宋_GB2312" w:cs="Times New Roman"/>
          <w:sz w:val="30"/>
          <w:szCs w:val="30"/>
        </w:rPr>
        <w:t>。外国银行分行视同总行管理。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2.银行分支机构。向所在地国家外汇管理局分支局备案。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1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1.银行总行。政策性银行、全国性商业银行，决定机构为国家外汇管理局；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所在地在吉林省的</w:t>
      </w:r>
      <w:r>
        <w:rPr>
          <w:rFonts w:ascii="Times New Roman" w:hAnsi="Times New Roman" w:eastAsia="仿宋_GB2312" w:cs="Times New Roman"/>
          <w:sz w:val="30"/>
          <w:szCs w:val="30"/>
        </w:rPr>
        <w:t>银行决定机构为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国家外汇管理局吉林省分局</w:t>
      </w:r>
      <w:r>
        <w:rPr>
          <w:rFonts w:ascii="Times New Roman" w:hAnsi="Times New Roman" w:eastAsia="仿宋_GB2312" w:cs="Times New Roman"/>
          <w:sz w:val="30"/>
          <w:szCs w:val="30"/>
        </w:rPr>
        <w:t>。外国银行分行视同总行管理。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2.银行分支机构。决定机构为所在地国家外汇管理局分支局。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申请人需同时符合以下条件：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1.具有金融业务资格。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2.具备完善的业务管理制度。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3.具备办理业务所必需的软硬件设备。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4.拥有具备相应业务工作经验的高级管理人员和业务人员。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银行需银行业监督管理部门批准外汇业务经营资格的，还应具备相应的外汇业务经营资格。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银行总行申请即期结售汇业务市场准入</w:t>
      </w:r>
      <w:r>
        <w:rPr>
          <w:rFonts w:ascii="Times New Roman" w:hAnsi="Times New Roman" w:eastAsia="仿宋_GB2312" w:cs="Times New Roman"/>
          <w:sz w:val="30"/>
          <w:szCs w:val="30"/>
        </w:rPr>
        <w:t>材料清单</w:t>
      </w:r>
    </w:p>
    <w:tbl>
      <w:tblPr>
        <w:tblW w:w="8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34"/>
        <w:gridCol w:w="2835"/>
        <w:gridCol w:w="992"/>
        <w:gridCol w:w="567"/>
        <w:gridCol w:w="850"/>
        <w:gridCol w:w="2127"/>
        <w:gridCol w:w="497"/>
      </w:tblGrid>
      <w:t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《金融许可证》复印件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办理结售汇业务的内部管理规章制度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应至少包括以下内容：结售汇业务操作规程、结售汇业务单证管理制度、结售汇业务统计报告制度、结售汇综合头寸管理制度、结售汇业务会计科目和核算办法、结售汇业务内部审计制度和从业人员岗位责任制度、结售汇业务授权管理制度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需要经银行业监督管理部门批准外汇业务经营资格的，还应提交外汇业务许可文件的复印件。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right="300"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sz w:val="30"/>
          <w:szCs w:val="30"/>
        </w:rPr>
        <w:t>银行分行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（含农村信用社）即期结售汇业务市场准入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W w:w="8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34"/>
        <w:gridCol w:w="2835"/>
        <w:gridCol w:w="992"/>
        <w:gridCol w:w="567"/>
        <w:gridCol w:w="850"/>
        <w:gridCol w:w="1276"/>
        <w:gridCol w:w="1348"/>
      </w:tblGrid>
      <w:t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《银行办理即期结售汇业务备案表》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见附录二</w:t>
            </w:r>
          </w:p>
        </w:tc>
      </w:tr>
      <w:t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《金融许可证》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right="300"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.银行支行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（含农村信用社）</w:t>
      </w:r>
      <w:r>
        <w:rPr>
          <w:rFonts w:ascii="Times New Roman" w:hAnsi="Times New Roman" w:eastAsia="仿宋_GB2312" w:cs="Times New Roman"/>
          <w:sz w:val="30"/>
          <w:szCs w:val="30"/>
        </w:rPr>
        <w:t>及下辖机构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即期结售汇业务市场准入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W w:w="8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34"/>
        <w:gridCol w:w="2976"/>
        <w:gridCol w:w="993"/>
        <w:gridCol w:w="457"/>
        <w:gridCol w:w="818"/>
        <w:gridCol w:w="851"/>
        <w:gridCol w:w="1773"/>
      </w:tblGrid>
      <w:t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《银行办理即期结售汇业务备案表》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下辖机构可以由支行集中办理备案手续，见附录二</w:t>
            </w:r>
          </w:p>
        </w:tc>
      </w:tr>
      <w:t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《金融许可证》复印件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申请人可通过窗口、邮寄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、国家外汇管理局政务服务网上办理系统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4.不予许可的，出具不予许可通知书。许可的，向申请人出具正式公文或备案表。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一般程序：申请、受理、审查、出具正式公文或备案表。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left="582" w:leftChars="277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20个工作日。办理过程中所需的现场验收等，不计入时限。</w:t>
      </w: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正式公文或备案表。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（十六）办公地址和时间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该项行政许可具体由国家外汇管理局分支局办理，</w:t>
      </w:r>
      <w:r>
        <w:rPr>
          <w:rFonts w:hint="eastAsia" w:ascii="Times New Roman" w:hAnsi="Times New Roman" w:eastAsia="仿宋_GB2312"/>
          <w:sz w:val="30"/>
          <w:szCs w:val="30"/>
        </w:rPr>
        <w:t>国家外汇管理局吉林省各市（州）中心支局的</w:t>
      </w:r>
      <w:r>
        <w:rPr>
          <w:rFonts w:ascii="Times New Roman" w:hAnsi="Times New Roman" w:eastAsia="仿宋_GB2312"/>
          <w:sz w:val="30"/>
          <w:szCs w:val="30"/>
        </w:rPr>
        <w:t>办公地址和办公时间见</w:t>
      </w:r>
      <w:r>
        <w:rPr>
          <w:rFonts w:hint="eastAsia" w:ascii="Times New Roman" w:hAnsi="Times New Roman" w:eastAsia="仿宋_GB2312"/>
          <w:sz w:val="30"/>
          <w:szCs w:val="30"/>
        </w:rPr>
        <w:t>国家外汇管理局吉林省分局官方互联网站“咨询反馈——联系我们”栏目。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（十七）禁止性要求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（十八）咨询途径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电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话、电子邮件、网址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.。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（十九）办理进程和结果公开查询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向外汇局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吉林省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  <w:t>分局及各市（州）中心支局</w:t>
      </w:r>
      <w:r>
        <w:rPr>
          <w:rFonts w:ascii="Times New Roman" w:hAnsi="Times New Roman" w:eastAsia="仿宋_GB2312" w:cs="Times New Roman"/>
          <w:color w:val="auto"/>
          <w:sz w:val="30"/>
          <w:szCs w:val="30"/>
          <w:highlight w:val="none"/>
        </w:rPr>
        <w:t>进行咨询、进程查询、监督和投诉等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  <w:t>可通过国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家外汇管理局吉林省分局官方互联网站“咨询反馈”栏目进行。网址为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"http://www.safe.gov.cn/jilin" </w:instrText>
      </w:r>
      <w:r>
        <w:rPr>
          <w:color w:val="auto"/>
        </w:rPr>
        <w:fldChar w:fldCharType="separate"/>
      </w:r>
      <w:r>
        <w:rPr>
          <w:rStyle w:val="16"/>
          <w:rFonts w:ascii="Times New Roman" w:hAnsi="Times New Roman" w:eastAsia="仿宋_GB2312" w:cs="Times New Roman"/>
          <w:color w:val="auto"/>
          <w:sz w:val="30"/>
          <w:szCs w:val="30"/>
        </w:rPr>
        <w:t>www.safe.gov.cn/jilin</w:t>
      </w:r>
      <w:r>
        <w:rPr>
          <w:color w:val="auto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，也可通过国家外汇管理局吉林省分局官方互联网站“咨询反馈——联系我们”栏目中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公布的电话进行。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通过国家外汇管理局政务服务网上办理系统提交申请的，可在该系统内进行查询。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（二十）监督投诉渠道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向国家外汇管理局咨询、监督投诉等可通过国家外汇管理局官方互联网站公众交流栏目进行。网址为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"http://www.safe.gov.cn/" </w:instrText>
      </w:r>
      <w:r>
        <w:rPr>
          <w:color w:val="auto"/>
        </w:rPr>
        <w:fldChar w:fldCharType="separate"/>
      </w:r>
      <w:r>
        <w:rPr>
          <w:rStyle w:val="16"/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rPr>
          <w:color w:val="auto"/>
        </w:rPr>
        <w:fldChar w:fldCharType="end"/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向外汇局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吉林省分局及各市（州）中心支局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进行咨询、监督和投诉等可通过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国家外汇管理局吉林省分局官方互联网站“咨询反馈”栏目进行。网址为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"http://www.safe.gov.cn/jilin" </w:instrText>
      </w:r>
      <w:r>
        <w:rPr>
          <w:color w:val="auto"/>
        </w:rPr>
        <w:fldChar w:fldCharType="separate"/>
      </w:r>
      <w:r>
        <w:rPr>
          <w:rStyle w:val="16"/>
          <w:rFonts w:ascii="Times New Roman" w:hAnsi="Times New Roman" w:eastAsia="仿宋_GB2312" w:cs="Times New Roman"/>
          <w:color w:val="auto"/>
          <w:sz w:val="30"/>
          <w:szCs w:val="30"/>
        </w:rPr>
        <w:t>www.safe.gov.cn/jilin</w:t>
      </w:r>
      <w:r>
        <w:rPr>
          <w:color w:val="auto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，也可通过国家外汇管理局吉林省分局官方互联网站“咨询反馈——联系我们”栏目中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公布的电话进行。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 xml:space="preserve">    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（二十一）申请材料示范文本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无固定格式，但需要根据总行、分行、支行提供不同的材料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，有关内容要求详见（六）申请材料。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（二十二）常见问题解答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审批时限在20个工作日以内。但办理过程中所需的现场验收等，不计入时限。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（二十三）常见错误示例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申请材料不完全符合规定，例如《金融许可证》复印件未加盖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银行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公章等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_x0000_s1423" o:spid="_x0000_s1027" style="position:absolute;left:0;margin-left:-1.45pt;margin-top:0.15pt;height:68.9pt;width:148.4pt;rotation:0f;z-index:25167462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申请人以现场、邮寄、国家外汇管理局政务服务网上办理系统等提出书面申请，并提交材料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_x0000_s1418" o:spid="_x0000_s1028" style="position:absolute;left:0;margin-left:273.6pt;margin-top:26.7pt;height:39.8pt;width:104.7pt;rotation:0f;z-index:25166950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411" o:spid="_x0000_s1029" type="#_x0000_t32" style="position:absolute;left:0;flip:x;margin-left:41.45pt;margin-top:21.05pt;height:0.05pt;width:232.1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407" o:spid="_x0000_s1030" type="#_x0000_t32" style="position:absolute;left:0;margin-left:40.6pt;margin-top:6.65pt;height:73.4pt;width:0.85pt;rotation:0f;z-index:25165824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416" o:spid="_x0000_s1031" type="#_x0000_t32" style="position:absolute;left:0;margin-left:40.6pt;margin-top:182.85pt;height:0.05pt;width:41.1pt;rotation:0f;z-index:25166745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415" o:spid="_x0000_s1032" type="#_x0000_t32" style="position:absolute;left:0;margin-left:40.6pt;margin-top:113.3pt;height:69.55pt;width:0.05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409" o:spid="_x0000_s1033" type="#_x0000_t32" style="position:absolute;left:0;margin-left:93.35pt;margin-top:101.65pt;height:0.05pt;width:58.6pt;rotation:0f;z-index:25166028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413" o:spid="_x0000_s1034" type="#_x0000_t32" style="position:absolute;left:0;margin-left:237.35pt;margin-top:253.15pt;height:45.25pt;width:0.85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414" o:spid="_x0000_s1035" type="#_x0000_t32" style="position:absolute;left:0;margin-left:131.6pt;margin-top:253.15pt;height:45.25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412" o:spid="_x0000_s1036" type="#_x0000_t32" style="position:absolute;left:0;margin-left:179.6pt;margin-top:204.6pt;height:21.85pt;width:0.05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408" o:spid="_x0000_s1037" type="#_x0000_t32" style="position:absolute;left:0;margin-left:89.25pt;margin-top:61.45pt;height:0.05pt;width:62.7pt;rotation:0f;z-index:25165926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_x0000_s1425" o:spid="_x0000_s1038" style="position:absolute;left:0;margin-left:199.5pt;margin-top:298.4pt;height:58.6pt;width:87.35pt;rotation:0f;z-index:25167667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依法作出不予许可决定，并送达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_x0000_s1424" o:spid="_x0000_s1039" style="position:absolute;left:0;margin-left:81.65pt;margin-top:298.4pt;height:58.6pt;width:87.35pt;rotation:0f;z-index:25167564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予以许可，向申请人出具正式公文或备案表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_x0000_s1422" o:spid="_x0000_s1040" style="position:absolute;left:0;margin-left:81.7pt;margin-top:226.45pt;height:26.7pt;width:212.6pt;rotation:0f;z-index:25167360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_x0000_s1421" o:spid="_x0000_s1041" style="position:absolute;left:0;margin-left:81.65pt;margin-top:174.45pt;height:30.15pt;width:205.2pt;rotation:0f;z-index:25167257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依法应予受理，出具受理单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410" o:spid="_x0000_s1042" type="#_x0000_t32" style="position:absolute;left:0;flip:y;margin-left:319.55pt;margin-top:4.1pt;height:44.75pt;width:0.05pt;rotation:0f;z-index:25166131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_x0000_s1420" o:spid="_x0000_s1043" style="position:absolute;left:0;margin-left:151.95pt;margin-top:91.45pt;height:45.3pt;width:268.1pt;rotation:0f;z-index:25167155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_x0000_s1419" o:spid="_x0000_s1044" style="position:absolute;left:0;margin-left:151.95pt;margin-top:48.85pt;height:25pt;width:268.1pt;rotation:0f;z-index:25167052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_x0000_s1417" o:spid="_x0000_s1045" type="#_x0000_t110" style="position:absolute;left:0;margin-left:-39.65pt;margin-top:35.35pt;height:94.45pt;width:163.7pt;rotation:0f;z-index:25166848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接件并当场（或5个工作日）作出是否受理决定</w:t>
                  </w:r>
                </w:p>
                <w:p/>
              </w:txbxContent>
            </v:textbox>
          </v:shape>
        </w:pic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附录二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银行办理即期结售汇业务备案表</w:t>
      </w:r>
    </w:p>
    <w:tbl>
      <w:tblPr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备案银行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营业地址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金融许可证机构编码</w:t>
            </w:r>
          </w:p>
        </w:tc>
        <w:tc>
          <w:tcPr>
            <w:tcW w:w="2840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金融许可证编号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批准机关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金融机构标识码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□已赋码号码为：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□未赋码</w:t>
            </w:r>
          </w:p>
        </w:tc>
      </w:tr>
      <w:tr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授权经营结售汇业务的上级行名称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上级行授权时间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结售汇业务备案类型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□对公结售汇业务  □对私结售汇业务</w:t>
            </w:r>
          </w:p>
        </w:tc>
      </w:tr>
      <w:tr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银行结售汇统计数据报送方式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□并入上级行报送上级行名称：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□本行单独报送</w:t>
            </w:r>
          </w:p>
        </w:tc>
      </w:tr>
      <w:tr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个人外汇业务监测系统（备案对私结售汇业务需填写）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是否已满足网络接入和设备要求：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□是□否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个人外汇业务监测系统使用身份：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□用上级行代码登录上级行名称：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□用本行代码登录</w:t>
            </w:r>
          </w:p>
        </w:tc>
      </w:tr>
      <w:tr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联系人员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职责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</w:tr>
      <w:tr>
        <w:tc>
          <w:tcPr>
            <w:tcW w:w="1420" w:type="dxa"/>
            <w:vMerge w:val="continue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主管行长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c>
          <w:tcPr>
            <w:tcW w:w="1420" w:type="dxa"/>
            <w:vMerge w:val="continue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部门负责人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c>
          <w:tcPr>
            <w:tcW w:w="1420" w:type="dxa"/>
            <w:vMerge w:val="continue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业务联系人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c>
          <w:tcPr>
            <w:tcW w:w="8522" w:type="dxa"/>
            <w:gridSpan w:val="6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声明：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以上情况全部属实，如有不真实，愿承担由此引起的法律责任。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授权银行签章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备案银行签章</w:t>
            </w:r>
          </w:p>
          <w:p>
            <w:pPr>
              <w:widowControl/>
              <w:wordWrap/>
              <w:adjustRightInd/>
              <w:snapToGrid/>
              <w:spacing w:before="0" w:after="0" w:line="240" w:lineRule="auto"/>
              <w:ind w:left="0" w:leftChars="0" w:right="0" w:firstLine="720" w:firstLineChars="300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月   日</w:t>
            </w:r>
          </w:p>
        </w:tc>
      </w:tr>
      <w:tr>
        <w:tc>
          <w:tcPr>
            <w:tcW w:w="8522" w:type="dxa"/>
            <w:gridSpan w:val="6"/>
            <w:vAlign w:val="top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国家外汇管理局××分支局</w:t>
            </w:r>
          </w:p>
          <w:p>
            <w:pPr>
              <w:widowControl/>
              <w:ind w:right="72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（签章）</w:t>
            </w:r>
          </w:p>
          <w:p>
            <w:pPr>
              <w:widowControl/>
              <w:ind w:right="48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附注：1、本表仅适用于银行分支机构。2、申请办理即期结售汇业务的银行营业网点无行政公章的，可以使用上级行行政公章替代，但其上级行需出具申请行无行政公章的说明材料。附2、4同。</w:t>
      </w: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rPr>
        <w:lang w:val="zh-CN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10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3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cs="Times New Roman"/>
    </w:rPr>
  </w:style>
  <w:style w:type="paragraph" w:styleId="7">
    <w:name w:val="Body Text"/>
    <w:basedOn w:val="1"/>
    <w:link w:val="41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Balloon Text"/>
    <w:basedOn w:val="1"/>
    <w:link w:val="28"/>
    <w:unhideWhenUsed/>
    <w:uiPriority w:val="0"/>
    <w:rPr>
      <w:sz w:val="18"/>
      <w:szCs w:val="18"/>
    </w:rPr>
  </w:style>
  <w:style w:type="paragraph" w:styleId="9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2">
    <w:name w:val="脚注文本 Char"/>
    <w:basedOn w:val="13"/>
    <w:semiHidden/>
    <w:uiPriority w:val="99"/>
    <w:rPr>
      <w:kern w:val="2"/>
      <w:sz w:val="18"/>
      <w:szCs w:val="18"/>
    </w:rPr>
  </w:style>
  <w:style w:type="paragraph" w:styleId="14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6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3"/>
    <w:semiHidden/>
    <w:unhideWhenUsed/>
    <w:qFormat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修订1"/>
    <w:hidden/>
    <w:semiHidden/>
    <w:qFormat/>
    <w:uiPriority w:val="99"/>
    <w:rPr>
      <w:rFonts w:ascii="Calibri" w:hAnsi="Calibri" w:cs="黑体"/>
      <w:kern w:val="2"/>
      <w:sz w:val="21"/>
      <w:szCs w:val="22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6">
    <w:name w:val="页眉 Char Char"/>
    <w:basedOn w:val="13"/>
    <w:link w:val="10"/>
    <w:uiPriority w:val="99"/>
    <w:rPr>
      <w:sz w:val="18"/>
      <w:szCs w:val="18"/>
    </w:rPr>
  </w:style>
  <w:style w:type="character" w:customStyle="1" w:styleId="27">
    <w:name w:val="页脚 Char Char"/>
    <w:basedOn w:val="13"/>
    <w:link w:val="9"/>
    <w:uiPriority w:val="99"/>
    <w:rPr>
      <w:sz w:val="18"/>
      <w:szCs w:val="18"/>
    </w:rPr>
  </w:style>
  <w:style w:type="character" w:customStyle="1" w:styleId="28">
    <w:name w:val="批注框文本 Char Char"/>
    <w:basedOn w:val="13"/>
    <w:link w:val="8"/>
    <w:uiPriority w:val="0"/>
    <w:rPr>
      <w:sz w:val="18"/>
      <w:szCs w:val="18"/>
    </w:rPr>
  </w:style>
  <w:style w:type="character" w:customStyle="1" w:styleId="29">
    <w:name w:val="HTML 预设格式 Char Char"/>
    <w:basedOn w:val="13"/>
    <w:link w:val="14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3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3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3"/>
    <w:link w:val="11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3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38">
    <w:name w:val="明显强调1"/>
    <w:basedOn w:val="13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3"/>
    <w:semiHidden/>
    <w:qFormat/>
    <w:uiPriority w:val="99"/>
    <w:rPr>
      <w:sz w:val="18"/>
      <w:szCs w:val="18"/>
    </w:rPr>
  </w:style>
  <w:style w:type="character" w:customStyle="1" w:styleId="41">
    <w:name w:val="正文文本 Char Char"/>
    <w:basedOn w:val="13"/>
    <w:link w:val="7"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theme" Target="theme/theme1.xml"/><Relationship Id="rId8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546</Words>
  <Characters>3115</Characters>
  <Lines>25</Lines>
  <Paragraphs>7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Administrator</cp:lastModifiedBy>
  <cp:lastPrinted>2021-07-02T06:52:01Z</cp:lastPrinted>
  <dcterms:modified xsi:type="dcterms:W3CDTF">2021-07-02T06:52:31Z</dcterms:modified>
  <dc:title>编号：57013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