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left"/>
        <w:rPr>
          <w:rFonts w:ascii="Times New Roman" w:hAnsi="Times New Roman" w:eastAsia="黑体" w:cs="Times New Roman"/>
          <w:sz w:val="30"/>
          <w:szCs w:val="30"/>
        </w:rPr>
      </w:pPr>
      <w:r>
        <w:rPr>
          <w:rFonts w:ascii="Times New Roman" w:hAnsi="Times New Roman" w:eastAsia="黑体" w:cs="Times New Roman"/>
          <w:sz w:val="48"/>
          <w:szCs w:val="48"/>
        </w:rPr>
        <w:t>编号：57007</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25"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“境内机构（不含商业银行）向境外提供商业贷款审批与登记”</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widowControl/>
        <w:jc w:val="center"/>
        <w:rPr>
          <w:rFonts w:ascii="Times New Roman" w:hAnsi="Times New Roman" w:eastAsia="仿宋_GB2312" w:cs="Times New Roman"/>
          <w:sz w:val="30"/>
          <w:szCs w:val="30"/>
        </w:rPr>
      </w:pPr>
    </w:p>
    <w:p>
      <w:pPr>
        <w:widowControl/>
        <w:jc w:val="center"/>
        <w:rPr>
          <w:rFonts w:ascii="Times New Roman" w:hAnsi="Times New Roman" w:eastAsia="仿宋_GB2312" w:cs="Times New Roman"/>
          <w:sz w:val="30"/>
          <w:szCs w:val="30"/>
        </w:rPr>
      </w:pPr>
    </w:p>
    <w:p>
      <w:pPr>
        <w:widowControl/>
        <w:jc w:val="center"/>
        <w:rPr>
          <w:rFonts w:ascii="Times New Roman" w:hAnsi="Times New Roman" w:eastAsia="仿宋_GB2312" w:cs="Times New Roman"/>
          <w:sz w:val="30"/>
          <w:szCs w:val="30"/>
        </w:rPr>
      </w:pPr>
    </w:p>
    <w:p>
      <w:pPr>
        <w:widowControl/>
        <w:jc w:val="center"/>
        <w:rPr>
          <w:rFonts w:ascii="Times New Roman" w:hAnsi="Times New Roman" w:eastAsia="仿宋_GB2312" w:cs="Times New Roman"/>
          <w:sz w:val="30"/>
          <w:szCs w:val="30"/>
        </w:rPr>
      </w:pPr>
    </w:p>
    <w:p>
      <w:pPr>
        <w:widowControl/>
        <w:jc w:val="center"/>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sect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rPr>
        <w:t>吉林省分局</w:t>
      </w:r>
    </w:p>
    <w:p>
      <w:pPr>
        <w:adjustRightInd w:val="0"/>
        <w:snapToGrid w:val="0"/>
        <w:spacing w:line="360" w:lineRule="auto"/>
        <w:rPr>
          <w:rFonts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 xml:space="preserve">    </w:t>
      </w: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项目名称：境内机构（不含商业银行）向境外提供商业贷款审批与登记；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项目编号：57007；</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本指南适用于“境内机构（不含商业银行）向境外提供商业贷款审批与登记”的申请和办理。</w:t>
      </w:r>
    </w:p>
    <w:p>
      <w:pPr>
        <w:adjustRightInd w:val="0"/>
        <w:snapToGrid w:val="0"/>
        <w:spacing w:line="360" w:lineRule="auto"/>
        <w:ind w:firstLine="585" w:firstLineChars="19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条：“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黑体" w:eastAsia="黑体" w:cs="Times New Roman"/>
          <w:sz w:val="30"/>
          <w:szCs w:val="30"/>
        </w:rPr>
        <w:t>四、内保外贷</w:t>
      </w:r>
      <w:r>
        <w:rPr>
          <w:rFonts w:hint="eastAsia" w:ascii="Times New Roman" w:hAnsi="黑体" w:eastAsia="黑体" w:cs="Times New Roman"/>
          <w:sz w:val="30"/>
          <w:szCs w:val="30"/>
          <w:lang w:eastAsia="zh-CN"/>
        </w:rPr>
        <w:t>担保</w:t>
      </w:r>
      <w:r>
        <w:rPr>
          <w:rFonts w:ascii="Times New Roman" w:hAnsi="黑体" w:eastAsia="黑体" w:cs="Times New Roman"/>
          <w:sz w:val="30"/>
          <w:szCs w:val="30"/>
        </w:rPr>
        <w:t>履约对外债权登记</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（一）办理依据</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1.《中华人民共和国外汇管理条例》（国务院令第532号）。</w:t>
      </w:r>
    </w:p>
    <w:p>
      <w:pPr>
        <w:widowControl/>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2.《国家外汇管理局关于发布〈跨境担保外汇管理规定〉的通知》（汇发〔2014〕29号）。</w:t>
      </w:r>
    </w:p>
    <w:p>
      <w:pPr>
        <w:widowControl/>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3.《国家外汇管理局关于进一步推进外汇管理改革完善真实合规性审核的通知》（汇发〔2017〕3号）。</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585"/>
        <w:rPr>
          <w:rFonts w:ascii="Times New Roman" w:hAnsi="Times New Roman" w:eastAsia="黑体" w:cs="Times New Roman"/>
          <w:sz w:val="30"/>
          <w:szCs w:val="30"/>
        </w:rPr>
      </w:pPr>
      <w:r>
        <w:rPr>
          <w:rFonts w:ascii="Times New Roman" w:hAnsi="黑体"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黑体" w:eastAsia="黑体" w:cs="Times New Roman"/>
          <w:sz w:val="30"/>
          <w:szCs w:val="30"/>
        </w:rPr>
        <w:t>（五）办事条件</w:t>
      </w:r>
    </w:p>
    <w:p>
      <w:pPr>
        <w:widowControl/>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1.内保外贷发生担保履约的，成为对外债权人的境内担保人或境内反担保人，应办理对外债权登记。</w:t>
      </w:r>
    </w:p>
    <w:p>
      <w:pPr>
        <w:widowControl/>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2.债权人为非银行机构的，应在担保履约后15个工作日内到所在地外汇局办理对外债权登记，并按规定办理与对外债权相关的变更、注销手续。</w:t>
      </w:r>
    </w:p>
    <w:p>
      <w:pPr>
        <w:widowControl/>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3.禁止性要求：如符合上述条件，不存在不予许可的情况。</w:t>
      </w:r>
    </w:p>
    <w:p>
      <w:pPr>
        <w:widowControl/>
        <w:ind w:firstLine="600"/>
        <w:rPr>
          <w:rFonts w:ascii="Times New Roman" w:hAnsi="Times New Roman" w:eastAsia="仿宋_GB2312" w:cs="Times New Roman"/>
          <w:sz w:val="30"/>
          <w:szCs w:val="30"/>
        </w:rPr>
      </w:pPr>
      <w:r>
        <w:rPr>
          <w:rFonts w:ascii="Times New Roman" w:hAnsi="黑体" w:eastAsia="黑体" w:cs="Times New Roman"/>
          <w:sz w:val="30"/>
          <w:szCs w:val="30"/>
        </w:rPr>
        <w:t>（六）申请材料</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3222"/>
        <w:gridCol w:w="1701"/>
        <w:gridCol w:w="425"/>
        <w:gridCol w:w="993"/>
        <w:gridCol w:w="425"/>
        <w:gridCol w:w="1206"/>
      </w:tblGrid>
      <w:tr>
        <w:tc>
          <w:tcPr>
            <w:tcW w:w="430" w:type="dxa"/>
            <w:vAlign w:val="center"/>
          </w:tcPr>
          <w:p>
            <w:pPr>
              <w:ind w:left="-141" w:leftChars="-67" w:right="-10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222" w:type="dxa"/>
            <w:vAlign w:val="center"/>
          </w:tcPr>
          <w:p>
            <w:pPr>
              <w:ind w:left="-84" w:leftChars="-40" w:right="-116"/>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701" w:type="dxa"/>
            <w:vAlign w:val="center"/>
          </w:tcPr>
          <w:p>
            <w:pPr>
              <w:ind w:left="-126" w:leftChars="-60" w:right="-12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ind w:left="-126" w:leftChars="-60" w:right="-12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vAlign w:val="center"/>
          </w:tcPr>
          <w:p>
            <w:pPr>
              <w:ind w:left="-90" w:leftChars="-43" w:right="-104"/>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3" w:type="dxa"/>
            <w:vAlign w:val="center"/>
          </w:tcPr>
          <w:p>
            <w:pPr>
              <w:ind w:left="-111" w:leftChars="-53" w:right="-89" w:firstLine="111" w:firstLineChars="46"/>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ind w:left="-111" w:leftChars="-53" w:right="-89" w:firstLine="111" w:firstLineChars="46"/>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425" w:type="dxa"/>
            <w:vAlign w:val="center"/>
          </w:tcPr>
          <w:p>
            <w:pPr>
              <w:ind w:left="-141" w:leftChars="-67" w:right="-121"/>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06" w:type="dxa"/>
            <w:vAlign w:val="center"/>
          </w:tcPr>
          <w:p>
            <w:pPr>
              <w:ind w:left="-94" w:leftChars="-45" w:right="-73" w:firstLine="94" w:firstLineChars="3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430" w:type="dxa"/>
            <w:vAlign w:val="center"/>
          </w:tcPr>
          <w:p>
            <w:pPr>
              <w:ind w:left="-141" w:leftChars="-67" w:right="-107" w:rightChars="-5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222" w:type="dxa"/>
            <w:vAlign w:val="center"/>
          </w:tcPr>
          <w:p>
            <w:pPr>
              <w:ind w:left="-2" w:right="33"/>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包括内保外贷签约登记办理情况、担保履约的原因、履约资金来源、境外债务人还款计划及未来还款资金来源等</w:t>
            </w:r>
            <w:r>
              <w:rPr>
                <w:rFonts w:hint="eastAsia" w:ascii="Times New Roman" w:hAnsi="Times New Roman" w:eastAsia="仿宋_GB2312" w:cs="Times New Roman"/>
                <w:sz w:val="24"/>
                <w:szCs w:val="24"/>
              </w:rPr>
              <w:t>）</w:t>
            </w:r>
          </w:p>
        </w:tc>
        <w:tc>
          <w:tcPr>
            <w:tcW w:w="1701" w:type="dxa"/>
            <w:vAlign w:val="center"/>
          </w:tcPr>
          <w:p>
            <w:pPr>
              <w:ind w:right="-125"/>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425" w:type="dxa"/>
            <w:vAlign w:val="center"/>
          </w:tcPr>
          <w:p>
            <w:pPr>
              <w:ind w:left="-90" w:leftChars="-43" w:right="-104"/>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ind w:left="-111" w:leftChars="-53" w:right="-89" w:firstLine="110" w:firstLineChars="46"/>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5" w:type="dxa"/>
            <w:vAlign w:val="center"/>
          </w:tcPr>
          <w:p>
            <w:pPr>
              <w:ind w:right="300"/>
              <w:jc w:val="left"/>
              <w:rPr>
                <w:rFonts w:ascii="Times New Roman" w:hAnsi="Times New Roman" w:eastAsia="仿宋_GB2312" w:cs="Times New Roman"/>
                <w:sz w:val="24"/>
                <w:szCs w:val="24"/>
              </w:rPr>
            </w:pPr>
          </w:p>
        </w:tc>
        <w:tc>
          <w:tcPr>
            <w:tcW w:w="1206" w:type="dxa"/>
            <w:vAlign w:val="center"/>
          </w:tcPr>
          <w:p>
            <w:pPr>
              <w:ind w:right="-73"/>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rPr>
          <w:trHeight w:val="1321" w:hRule="atLeast"/>
        </w:trPr>
        <w:tc>
          <w:tcPr>
            <w:tcW w:w="430" w:type="dxa"/>
            <w:vAlign w:val="center"/>
          </w:tcPr>
          <w:p>
            <w:pPr>
              <w:ind w:left="-141" w:leftChars="-67" w:right="-10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222" w:type="dxa"/>
            <w:vAlign w:val="center"/>
          </w:tcPr>
          <w:p>
            <w:pPr>
              <w:ind w:left="-2" w:right="33"/>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担保履约证明材料</w:t>
            </w:r>
          </w:p>
        </w:tc>
        <w:tc>
          <w:tcPr>
            <w:tcW w:w="1701" w:type="dxa"/>
            <w:vAlign w:val="center"/>
          </w:tcPr>
          <w:p>
            <w:pPr>
              <w:ind w:right="-125"/>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25" w:type="dxa"/>
            <w:vAlign w:val="center"/>
          </w:tcPr>
          <w:p>
            <w:pPr>
              <w:ind w:left="-90" w:leftChars="-43" w:right="-104"/>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ind w:left="-111" w:leftChars="-53" w:right="-89" w:firstLine="110" w:firstLineChars="46"/>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5" w:type="dxa"/>
            <w:vAlign w:val="center"/>
          </w:tcPr>
          <w:p>
            <w:pPr>
              <w:ind w:right="300"/>
              <w:jc w:val="left"/>
              <w:rPr>
                <w:rFonts w:ascii="Times New Roman" w:hAnsi="Times New Roman" w:eastAsia="仿宋_GB2312" w:cs="Times New Roman"/>
                <w:sz w:val="24"/>
                <w:szCs w:val="24"/>
              </w:rPr>
            </w:pPr>
          </w:p>
        </w:tc>
        <w:tc>
          <w:tcPr>
            <w:tcW w:w="1206" w:type="dxa"/>
            <w:vAlign w:val="center"/>
          </w:tcPr>
          <w:p>
            <w:pPr>
              <w:ind w:right="-73"/>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（七）申请接受</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（八）基本办理流程</w:t>
      </w:r>
    </w:p>
    <w:p>
      <w:pPr>
        <w:tabs>
          <w:tab w:val="left" w:pos="615"/>
        </w:tabs>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w:t>
      </w:r>
      <w:bookmarkStart w:id="0" w:name="_GoBack"/>
      <w:bookmarkEnd w:id="0"/>
      <w:r>
        <w:rPr>
          <w:rFonts w:ascii="Times New Roman" w:hAnsi="Times New Roman" w:eastAsia="仿宋_GB2312" w:cs="Times New Roman"/>
          <w:sz w:val="30"/>
          <w:szCs w:val="30"/>
        </w:rPr>
        <w:t>内。</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（十一）审批收费依据及标准</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不收费。</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（十四）申请人权利和义务</w:t>
      </w:r>
    </w:p>
    <w:p>
      <w:pPr>
        <w:adjustRightInd w:val="0"/>
        <w:snapToGrid w:val="0"/>
        <w:spacing w:line="360" w:lineRule="auto"/>
        <w:ind w:firstLine="600"/>
        <w:rPr>
          <w:rFonts w:hint="eastAsia" w:ascii="Times New Roman" w:hAnsi="Times New Roman" w:eastAsia="仿宋_GB2312" w:cs="Times New Roman"/>
          <w:sz w:val="30"/>
          <w:lang w:eastAsia="zh-CN"/>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firstLine="602" w:firstLineChars="200"/>
        <w:rPr>
          <w:rFonts w:hint="eastAsia" w:ascii="仿宋_GB2312" w:hAnsi="仿宋" w:eastAsia="仿宋_GB2312" w:cs="仿宋"/>
          <w:b/>
          <w:color w:val="auto"/>
          <w:sz w:val="30"/>
          <w:szCs w:val="30"/>
        </w:rPr>
      </w:pPr>
      <w:r>
        <w:rPr>
          <w:rFonts w:ascii="Times New Roman" w:hAnsi="Times New Roman" w:eastAsia="黑体" w:cs="Times New Roman"/>
          <w:color w:val="auto"/>
          <w:sz w:val="30"/>
          <w:szCs w:val="30"/>
        </w:rPr>
        <w:t>（十五）咨询途径、监督和投诉</w:t>
      </w:r>
    </w:p>
    <w:p>
      <w:pPr>
        <w:ind w:firstLine="600"/>
        <w:rPr>
          <w:rFonts w:eastAsia="仿宋_GB2312"/>
          <w:color w:val="auto"/>
          <w:sz w:val="30"/>
          <w:szCs w:val="30"/>
        </w:rPr>
      </w:pPr>
      <w:r>
        <w:rPr>
          <w:rFonts w:eastAsia="仿宋_GB2312"/>
          <w:color w:val="auto"/>
          <w:sz w:val="30"/>
          <w:szCs w:val="30"/>
        </w:rPr>
        <w:t>向国家外汇管理局咨询、监督投诉等可通过国家外汇管理局官方互联网站公众交流栏目进行。网址为</w:t>
      </w:r>
      <w:r>
        <w:rPr>
          <w:rFonts w:ascii="Calibri" w:hAnsi="Calibri"/>
          <w:color w:val="auto"/>
          <w:szCs w:val="22"/>
        </w:rPr>
        <w:fldChar w:fldCharType="begin"/>
      </w:r>
      <w:r>
        <w:rPr>
          <w:color w:val="auto"/>
        </w:rPr>
        <w:instrText xml:space="preserve"> HYPERLINK "http://www.safe.gov.cn/" \h </w:instrText>
      </w:r>
      <w:r>
        <w:rPr>
          <w:rFonts w:ascii="Calibri" w:hAnsi="Calibri"/>
          <w:color w:val="auto"/>
          <w:szCs w:val="22"/>
        </w:rPr>
        <w:fldChar w:fldCharType="separate"/>
      </w:r>
      <w:r>
        <w:rPr>
          <w:rFonts w:eastAsia="仿宋_GB2312"/>
          <w:color w:val="auto"/>
          <w:spacing w:val="-4"/>
          <w:sz w:val="30"/>
          <w:szCs w:val="30"/>
        </w:rPr>
        <w:t>www.safe.gov.cn</w:t>
      </w:r>
      <w:r>
        <w:rPr>
          <w:rFonts w:eastAsia="仿宋_GB2312"/>
          <w:color w:val="auto"/>
          <w:spacing w:val="-4"/>
          <w:sz w:val="30"/>
          <w:szCs w:val="30"/>
        </w:rPr>
        <w:fldChar w:fldCharType="end"/>
      </w:r>
      <w:r>
        <w:rPr>
          <w:rFonts w:eastAsia="仿宋_GB2312"/>
          <w:color w:val="auto"/>
          <w:sz w:val="30"/>
          <w:szCs w:val="30"/>
        </w:rPr>
        <w:t>。</w:t>
      </w:r>
    </w:p>
    <w:p>
      <w:pPr>
        <w:ind w:firstLine="600"/>
        <w:rPr>
          <w:rFonts w:hint="eastAsia" w:eastAsia="仿宋_GB2312"/>
          <w:color w:val="auto"/>
          <w:sz w:val="30"/>
          <w:szCs w:val="30"/>
        </w:rPr>
      </w:pPr>
      <w:r>
        <w:rPr>
          <w:rFonts w:eastAsia="仿宋_GB2312"/>
          <w:color w:val="auto"/>
          <w:sz w:val="30"/>
          <w:szCs w:val="30"/>
        </w:rPr>
        <w:t>向外汇局</w:t>
      </w:r>
      <w:r>
        <w:rPr>
          <w:rFonts w:hint="eastAsia" w:eastAsia="仿宋_GB2312"/>
          <w:color w:val="auto"/>
          <w:sz w:val="30"/>
          <w:szCs w:val="30"/>
        </w:rPr>
        <w:t>吉林省分局及各市（州）中心支局</w:t>
      </w:r>
      <w:r>
        <w:rPr>
          <w:rFonts w:eastAsia="仿宋_GB2312"/>
          <w:color w:val="auto"/>
          <w:sz w:val="30"/>
          <w:szCs w:val="30"/>
        </w:rPr>
        <w:t>进行咨询、监督和投诉等可通过</w:t>
      </w:r>
      <w:r>
        <w:rPr>
          <w:rFonts w:hint="eastAsia" w:eastAsia="仿宋_GB2312"/>
          <w:color w:val="auto"/>
          <w:sz w:val="30"/>
          <w:szCs w:val="30"/>
        </w:rPr>
        <w:t>国家外汇管理局吉林省分局官方互联网站“咨询反馈”栏目进行。网址为</w:t>
      </w:r>
      <w:r>
        <w:rPr>
          <w:rFonts w:eastAsia="仿宋_GB2312"/>
          <w:color w:val="auto"/>
          <w:sz w:val="30"/>
          <w:szCs w:val="30"/>
        </w:rPr>
        <w:fldChar w:fldCharType="begin"/>
      </w:r>
      <w:r>
        <w:rPr>
          <w:rFonts w:eastAsia="仿宋_GB2312"/>
          <w:color w:val="auto"/>
          <w:sz w:val="30"/>
          <w:szCs w:val="30"/>
        </w:rPr>
        <w:instrText xml:space="preserve"> HYPERLINK "http://www.safe.gov.cn/jilin" </w:instrText>
      </w:r>
      <w:r>
        <w:rPr>
          <w:rFonts w:eastAsia="仿宋_GB2312"/>
          <w:color w:val="auto"/>
          <w:sz w:val="30"/>
          <w:szCs w:val="30"/>
        </w:rPr>
        <w:fldChar w:fldCharType="separate"/>
      </w:r>
      <w:r>
        <w:rPr>
          <w:rStyle w:val="15"/>
          <w:rFonts w:eastAsia="仿宋_GB2312"/>
          <w:color w:val="auto"/>
          <w:sz w:val="30"/>
          <w:szCs w:val="30"/>
          <w:u w:val="none"/>
        </w:rPr>
        <w:t>www.safe.gov.cn/jilin</w:t>
      </w:r>
      <w:r>
        <w:rPr>
          <w:rFonts w:eastAsia="仿宋_GB2312"/>
          <w:color w:val="auto"/>
          <w:sz w:val="30"/>
          <w:szCs w:val="30"/>
        </w:rPr>
        <w:fldChar w:fldCharType="end"/>
      </w:r>
      <w:r>
        <w:rPr>
          <w:rFonts w:hint="eastAsia" w:eastAsia="仿宋_GB2312"/>
          <w:color w:val="auto"/>
          <w:sz w:val="30"/>
          <w:szCs w:val="30"/>
        </w:rPr>
        <w:t>，也可通过国家外汇管理局吉林省分局官方互联网站“咨询反馈——联系我们”栏目中</w:t>
      </w:r>
      <w:r>
        <w:rPr>
          <w:rFonts w:eastAsia="仿宋_GB2312"/>
          <w:color w:val="auto"/>
          <w:sz w:val="30"/>
          <w:szCs w:val="30"/>
        </w:rPr>
        <w:t>公布的电话进行。</w:t>
      </w:r>
    </w:p>
    <w:p>
      <w:pPr>
        <w:ind w:firstLine="600"/>
        <w:rPr>
          <w:rFonts w:hint="eastAsia" w:eastAsia="仿宋_GB2312"/>
          <w:b/>
          <w:color w:val="auto"/>
          <w:sz w:val="30"/>
          <w:szCs w:val="30"/>
        </w:rPr>
      </w:pPr>
      <w:r>
        <w:rPr>
          <w:rFonts w:ascii="Times New Roman" w:hAnsi="Times New Roman" w:eastAsia="黑体" w:cs="Times New Roman"/>
          <w:color w:val="auto"/>
          <w:sz w:val="30"/>
          <w:szCs w:val="30"/>
        </w:rPr>
        <w:t>（十</w:t>
      </w:r>
      <w:r>
        <w:rPr>
          <w:rFonts w:hint="eastAsia" w:ascii="Times New Roman" w:hAnsi="Times New Roman" w:eastAsia="黑体" w:cs="Times New Roman"/>
          <w:color w:val="auto"/>
          <w:sz w:val="30"/>
          <w:szCs w:val="30"/>
          <w:lang w:eastAsia="zh-CN"/>
        </w:rPr>
        <w:t>六</w:t>
      </w:r>
      <w:r>
        <w:rPr>
          <w:rFonts w:ascii="Times New Roman" w:hAnsi="Times New Roman" w:eastAsia="黑体" w:cs="Times New Roman"/>
          <w:color w:val="auto"/>
          <w:sz w:val="30"/>
          <w:szCs w:val="30"/>
        </w:rPr>
        <w:t>）办公地址和时间</w:t>
      </w:r>
    </w:p>
    <w:p>
      <w:pPr>
        <w:ind w:firstLine="600" w:firstLineChars="200"/>
        <w:rPr>
          <w:rFonts w:hint="eastAsia" w:ascii="Calibri" w:eastAsia="仿宋_GB2312"/>
          <w:color w:val="auto"/>
          <w:sz w:val="30"/>
          <w:szCs w:val="30"/>
        </w:rPr>
      </w:pPr>
      <w:r>
        <w:rPr>
          <w:rFonts w:eastAsia="仿宋_GB2312"/>
          <w:color w:val="auto"/>
          <w:sz w:val="30"/>
          <w:szCs w:val="30"/>
        </w:rPr>
        <w:t>该项行政许可具体由国家外汇管理局分支局办理，</w:t>
      </w:r>
      <w:r>
        <w:rPr>
          <w:rFonts w:hint="eastAsia" w:eastAsia="仿宋_GB2312"/>
          <w:color w:val="auto"/>
          <w:sz w:val="30"/>
          <w:szCs w:val="30"/>
        </w:rPr>
        <w:t>国家外汇管理局吉林省各市（州）中心支局的</w:t>
      </w:r>
      <w:r>
        <w:rPr>
          <w:rFonts w:eastAsia="仿宋_GB2312"/>
          <w:color w:val="auto"/>
          <w:sz w:val="30"/>
          <w:szCs w:val="30"/>
        </w:rPr>
        <w:t>办公地址和办公时间见</w:t>
      </w:r>
      <w:r>
        <w:rPr>
          <w:rFonts w:hint="eastAsia" w:eastAsia="仿宋_GB2312"/>
          <w:color w:val="auto"/>
          <w:sz w:val="30"/>
          <w:szCs w:val="30"/>
        </w:rPr>
        <w:t>国家外汇管理局吉林省分局官方互联网站“咨询反馈——联系我们”栏目。</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1026" o:spid="_x0000_s1027" style="position:absolute;left:0;margin-left:-13.25pt;margin-top:14.1pt;height:586.05pt;width:446.05pt;rotation:0f;z-index:251658240;" coordorigin="0,0" coordsize="8921,11721">
            <o:lock v:ext="edit" position="f" selection="f" grouping="f" rotation="f" cropping="f" text="f" aspectratio="f"/>
            <v:rect id="Rectangle 1150"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151"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152"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153" o:spid="_x0000_s1031" type="#_x0000_t32" style="position:absolute;left:4382;top:7693;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154" o:spid="_x0000_s1032" type="#_x0000_t32" style="position:absolute;left:6331;top:9568;height:109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155" o:spid="_x0000_s1033" type="#_x0000_t32" style="position:absolute;left:2358;top:9568;height:103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156" o:spid="_x0000_s1034" type="#_x0000_t32" style="position:absolute;left:4383;top:8853;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157" o:spid="_x0000_s1035" type="#_x0000_t32" style="position:absolute;left:2359;top:9568;height:0;width:3972;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5" o:spid="_x0000_s1036" style="position:absolute;left:0;top:0;height:7693;width:8921;rotation:0f;" coordorigin="0,0" coordsize="8921,7693">
              <o:lock v:ext="edit" position="f" selection="f" grouping="f" rotation="f" cropping="f" text="f" aspectratio="f"/>
              <v:shape id="AutoShape 1159" o:spid="_x0000_s1037" type="#_x0000_t32" style="position:absolute;left:5893;top:6566;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7" o:spid="_x0000_s1038" style="position:absolute;left:0;top:0;height:7693;width:8921;rotation:0f;" coordorigin="0,0" coordsize="8921,7693">
                <o:lock v:ext="edit" position="f" selection="f" grouping="f" rotation="f" cropping="f" text="f" aspectratio="f"/>
                <v:shape id="AutoShape 1161" o:spid="_x0000_s1039" type="#_x0000_t34" style="position:absolute;left:6366;top:3154;height:1285;width:3823;rotation:17694720f;" o:ole="f" fillcolor="#FFFFFF" filled="t" o:preferrelative="t" stroked="t" coordorigin="0,0" coordsize="21600,21600" adj="33">
                  <v:stroke color="#000000" color2="#FFFFFF" miterlimit="2"/>
                  <v:imagedata gain="65536f" blacklevel="0f" gamma="0"/>
                  <o:lock v:ext="edit" position="f" selection="f" grouping="f" rotation="f" cropping="f" text="f" aspectratio="f"/>
                </v:shape>
                <v:shape id="Text Box 1162"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163" o:spid="_x0000_s1041" type="#_x0000_t32" style="position:absolute;left:5893;top:4472;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1164"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165"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166"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167"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168"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0;top:0;height:7424;width:4594;rotation:0f;" coordorigin="0,0" coordsize="4594,7424">
                  <o:lock v:ext="edit" position="f" selection="f" grouping="f" rotation="f" cropping="f" text="f" aspectratio="f"/>
                  <v:shape id="AutoShape 1170" o:spid="_x0000_s1048" type="#_x0000_t32" style="position:absolute;left:3663;top:3910;height:0;width:93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171" o:spid="_x0000_s1049" type="#_x0000_t32" style="position:absolute;left:1355;top:3986;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49" o:spid="_x0000_s1050" style="position:absolute;left:0;top:0;height:3986;width:3629;rotation:0f;" coordorigin="0,0" coordsize="3629,3986">
                    <o:lock v:ext="edit" position="f" selection="f" grouping="f" rotation="f" cropping="f" text="f" aspectratio="f"/>
                    <v:shape id="AutoShape 1173" o:spid="_x0000_s1051" type="#_x0000_t32" style="position:absolute;left:1396;top:1172;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174" o:spid="_x0000_s1052" type="#_x0000_t32" style="position:absolute;left:2400;top:2967;height:0;width:1229;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175" o:spid="_x0000_s1053"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176"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177" o:spid="_x0000_s1055" type="#_x0000_t32" style="position:absolute;left:1355;top:7423;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178" o:spid="_x0000_s1056" type="#_x0000_t32" style="position:absolute;left:3663;top:1999;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179" o:spid="_x0000_s1057" type="#_x0000_t32" style="position:absolute;left:3663;top:1989;height:1;width:9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1180"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181"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182" o:spid="_x0000_s1060" type="#_x0000_t32" style="position:absolute;left:7384;top:1886;flip:x;height:0;width:153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w:pic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附录二</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1．问：对于担保人在境内、债务人在境外的其他形式的跨境担保，担保履约后构成对外债权的，是否应当办理对外债权登记。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答：应当办理。</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2．问：境内银行发生内保外贷履约，如有反担保人，是否应当办理对外债权登记，由谁来申请？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答：境内银行发生内保外贷履约，如有反担保人，应由反担保人申请办理对外债权登记。</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3．问：银行</w:t>
      </w:r>
      <w:r>
        <w:rPr>
          <w:rFonts w:ascii="Times New Roman" w:hAnsi="Times New Roman" w:eastAsia="仿宋_GB2312" w:cs="Times New Roman"/>
          <w:kern w:val="0"/>
          <w:sz w:val="30"/>
          <w:szCs w:val="30"/>
        </w:rPr>
        <w:t>银行发生内保外贷担保履约的</w:t>
      </w:r>
      <w:r>
        <w:rPr>
          <w:rFonts w:ascii="Times New Roman" w:hAnsi="Times New Roman" w:eastAsia="仿宋_GB2312" w:cs="Times New Roman"/>
          <w:sz w:val="30"/>
          <w:szCs w:val="30"/>
        </w:rPr>
        <w:t>，应注意什么问题？</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答：银行发生内保外贷担保履约的，相关结售汇纳入银行自身结售汇管理。《国家外汇管理局关于进一步推进外汇管理改革完善真实合规性审核的通知》（汇发〔2017〕3号）实施后银行新提供的内保外贷，如果发生担保项下主债务违约，银行应先使用自有资金履约，不得以反担保资金直接购汇履约；银行履约后造成本外币资金不匹配的，需经所在地外汇分局资本项目管理部门备案后办理结售汇相关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4．问：境内企业发生内保外贷履约形成对外债权的，其对外债权余额是否应纳入该企业境外放款额度管理？</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答：境内企业发生内保外贷履约形成对外债权的，其对外债权余额应纳入该企业境外放款额度管理。境内企业内保外贷履约对外债权余额与该企业境外放款余额之和不得超过该企业所有者权益的30%；如果超过30%，可以先为该企业办理对外债权登记，但在对外债权余额与境外放款余额之和恢复到该企业所有者权益的30%以内之前，未经外汇局批准，该企业不得办理新的境外放款业务。</w:t>
      </w:r>
    </w:p>
    <w:sectPr>
      <w:footerReference r:id="rId5"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287" w:usb1="080F0000" w:usb2="00000000" w:usb3="00000000" w:csb0="0004009F" w:csb1="DFD70000"/>
  </w:font>
  <w:font w:name="华文仿宋">
    <w:altName w:val="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Cambria Math">
    <w:panose1 w:val="02040503050406030204"/>
    <w:charset w:val="00"/>
    <w:family w:val="auto"/>
    <w:pitch w:val="default"/>
    <w:sig w:usb0="E00002FF" w:usb1="420024FF" w:usb2="00000000" w:usb3="00000000" w:csb0="2000019F" w:csb1="00000000"/>
  </w:font>
  <w:font w:name="Arial Unicode MS">
    <w:altName w:val="宋体"/>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2</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3</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annotation subject"/>
    <w:lsdException w:qFormat="1"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1"/>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2"/>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3"/>
    <w:qFormat/>
    <w:uiPriority w:val="9"/>
    <w:pPr>
      <w:ind w:right="300"/>
      <w:outlineLvl w:val="2"/>
    </w:pPr>
    <w:rPr>
      <w:rFonts w:ascii="仿宋_GB2312" w:hAnsi="Calibri" w:eastAsia="仿宋_GB2312" w:cs="Times New Roman"/>
      <w:sz w:val="30"/>
      <w:szCs w:val="30"/>
    </w:rPr>
  </w:style>
  <w:style w:type="character" w:default="1" w:styleId="12">
    <w:name w:val="Default Paragraph Font"/>
    <w:semiHidden/>
    <w:unhideWhenUsed/>
    <w:uiPriority w:val="1"/>
  </w:style>
  <w:style w:type="paragraph" w:styleId="5">
    <w:name w:val="Document Map"/>
    <w:basedOn w:val="1"/>
    <w:link w:val="36"/>
    <w:unhideWhenUsed/>
    <w:qFormat/>
    <w:uiPriority w:val="0"/>
    <w:rPr>
      <w:rFonts w:ascii="宋体"/>
      <w:sz w:val="18"/>
      <w:szCs w:val="18"/>
    </w:rPr>
  </w:style>
  <w:style w:type="paragraph" w:styleId="6">
    <w:name w:val="annotation text"/>
    <w:basedOn w:val="1"/>
    <w:link w:val="30"/>
    <w:unhideWhenUsed/>
    <w:qFormat/>
    <w:uiPriority w:val="99"/>
    <w:pPr>
      <w:jc w:val="left"/>
    </w:pPr>
    <w:rPr>
      <w:rFonts w:ascii="Calibri" w:hAnsi="Calibri" w:eastAsia="宋体" w:cs="Times New Roman"/>
    </w:rPr>
  </w:style>
  <w:style w:type="paragraph" w:styleId="7">
    <w:name w:val="Balloon Text"/>
    <w:basedOn w:val="1"/>
    <w:link w:val="28"/>
    <w:unhideWhenUsed/>
    <w:qFormat/>
    <w:uiPriority w:val="0"/>
    <w:rPr>
      <w:sz w:val="18"/>
      <w:szCs w:val="18"/>
    </w:rPr>
  </w:style>
  <w:style w:type="paragraph" w:styleId="8">
    <w:name w:val="footer"/>
    <w:basedOn w:val="1"/>
    <w:link w:val="27"/>
    <w:unhideWhenUsed/>
    <w:qFormat/>
    <w:uiPriority w:val="99"/>
    <w:pPr>
      <w:tabs>
        <w:tab w:val="center" w:pos="4153"/>
        <w:tab w:val="right" w:pos="8306"/>
      </w:tabs>
      <w:snapToGrid w:val="0"/>
      <w:jc w:val="left"/>
    </w:pPr>
    <w:rPr>
      <w:sz w:val="18"/>
      <w:szCs w:val="18"/>
    </w:rPr>
  </w:style>
  <w:style w:type="paragraph" w:styleId="9">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kern w:val="2"/>
      <w:sz w:val="18"/>
      <w:szCs w:val="18"/>
    </w:rPr>
  </w:style>
  <w:style w:type="character" w:customStyle="1" w:styleId="11">
    <w:name w:val="脚注文本 Char"/>
    <w:basedOn w:val="12"/>
    <w:semiHidden/>
    <w:qFormat/>
    <w:uiPriority w:val="99"/>
    <w:rPr>
      <w:kern w:val="2"/>
      <w:sz w:val="18"/>
      <w:szCs w:val="18"/>
    </w:rPr>
  </w:style>
  <w:style w:type="paragraph" w:styleId="13">
    <w:name w:val="HTML Preformatted"/>
    <w:basedOn w:val="1"/>
    <w:link w:val="2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2"/>
    <w:unhideWhenUsed/>
    <w:qFormat/>
    <w:uiPriority w:val="99"/>
    <w:rPr>
      <w:rFonts w:hint="default" w:ascii="ˎ̥" w:hAnsi="ˎ̥"/>
      <w:color w:val="0453CC"/>
      <w:sz w:val="20"/>
      <w:szCs w:val="20"/>
      <w:u w:val="none"/>
    </w:rPr>
  </w:style>
  <w:style w:type="character" w:styleId="16">
    <w:name w:val="annotation reference"/>
    <w:basedOn w:val="12"/>
    <w:semiHidden/>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paragraph" w:customStyle="1" w:styleId="18">
    <w:name w:val="List Paragraph"/>
    <w:basedOn w:val="1"/>
    <w:qFormat/>
    <w:uiPriority w:val="99"/>
    <w:pPr>
      <w:ind w:firstLine="420" w:firstLineChars="200"/>
    </w:pPr>
  </w:style>
  <w:style w:type="paragraph" w:customStyle="1" w:styleId="19">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0">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
    <w:name w:val="Revision"/>
    <w:hidden/>
    <w:semiHidden/>
    <w:qFormat/>
    <w:uiPriority w:val="99"/>
    <w:rPr>
      <w:rFonts w:ascii="Calibri" w:hAnsi="Calibri" w:eastAsia="宋体" w:cs="黑体"/>
      <w:kern w:val="2"/>
      <w:sz w:val="21"/>
      <w:szCs w:val="22"/>
      <w:lang w:val="en-US" w:eastAsia="zh-CN" w:bidi="ar-SA"/>
    </w:rPr>
  </w:style>
  <w:style w:type="paragraph" w:customStyle="1" w:styleId="22">
    <w:name w:val="列出段落1"/>
    <w:basedOn w:val="1"/>
    <w:qFormat/>
    <w:uiPriority w:val="34"/>
    <w:pPr>
      <w:ind w:firstLine="420" w:firstLineChars="200"/>
    </w:pPr>
    <w:rPr>
      <w:rFonts w:ascii="Calibri" w:hAnsi="Calibri" w:eastAsia="宋体" w:cs="Times New Roman"/>
    </w:rPr>
  </w:style>
  <w:style w:type="paragraph" w:customStyle="1" w:styleId="23">
    <w:name w:val="列出段落4"/>
    <w:basedOn w:val="1"/>
    <w:qFormat/>
    <w:uiPriority w:val="0"/>
    <w:pPr>
      <w:ind w:firstLine="200" w:firstLineChars="200"/>
    </w:pPr>
    <w:rPr>
      <w:rFonts w:ascii="Calibri" w:hAnsi="Calibri" w:eastAsia="宋体" w:cs="Times New Roman"/>
    </w:rPr>
  </w:style>
  <w:style w:type="paragraph" w:customStyle="1" w:styleId="24">
    <w:name w:val="列出段落3"/>
    <w:basedOn w:val="1"/>
    <w:qFormat/>
    <w:uiPriority w:val="0"/>
    <w:pPr>
      <w:ind w:firstLine="420" w:firstLineChars="200"/>
    </w:pPr>
    <w:rPr>
      <w:rFonts w:ascii="Times New Roman" w:hAnsi="Times New Roman" w:eastAsia="宋体" w:cs="Times New Roman"/>
      <w:szCs w:val="24"/>
    </w:rPr>
  </w:style>
  <w:style w:type="paragraph" w:customStyle="1" w:styleId="25">
    <w:name w:val="p0"/>
    <w:basedOn w:val="1"/>
    <w:qFormat/>
    <w:uiPriority w:val="0"/>
    <w:pPr>
      <w:widowControl/>
    </w:pPr>
    <w:rPr>
      <w:rFonts w:ascii="Calibri" w:hAnsi="Calibri" w:eastAsia="宋体" w:cs="宋体"/>
      <w:kern w:val="0"/>
      <w:szCs w:val="21"/>
    </w:rPr>
  </w:style>
  <w:style w:type="character" w:customStyle="1" w:styleId="26">
    <w:name w:val="页眉 Char Char"/>
    <w:basedOn w:val="12"/>
    <w:link w:val="9"/>
    <w:uiPriority w:val="99"/>
    <w:rPr>
      <w:sz w:val="18"/>
      <w:szCs w:val="18"/>
    </w:rPr>
  </w:style>
  <w:style w:type="character" w:customStyle="1" w:styleId="27">
    <w:name w:val="页脚 Char Char"/>
    <w:basedOn w:val="12"/>
    <w:link w:val="8"/>
    <w:uiPriority w:val="99"/>
    <w:rPr>
      <w:sz w:val="18"/>
      <w:szCs w:val="18"/>
    </w:rPr>
  </w:style>
  <w:style w:type="character" w:customStyle="1" w:styleId="28">
    <w:name w:val="批注框文本 Char Char"/>
    <w:basedOn w:val="12"/>
    <w:link w:val="7"/>
    <w:uiPriority w:val="0"/>
    <w:rPr>
      <w:sz w:val="18"/>
      <w:szCs w:val="18"/>
    </w:rPr>
  </w:style>
  <w:style w:type="character" w:customStyle="1" w:styleId="29">
    <w:name w:val="HTML 预设格式 Char Char"/>
    <w:basedOn w:val="12"/>
    <w:link w:val="13"/>
    <w:uiPriority w:val="99"/>
    <w:rPr>
      <w:rFonts w:ascii="宋体" w:hAnsi="宋体" w:eastAsia="宋体" w:cs="宋体"/>
      <w:kern w:val="0"/>
      <w:sz w:val="24"/>
      <w:szCs w:val="24"/>
    </w:rPr>
  </w:style>
  <w:style w:type="character" w:customStyle="1" w:styleId="30">
    <w:name w:val="批注文字 Char Char"/>
    <w:basedOn w:val="12"/>
    <w:link w:val="6"/>
    <w:uiPriority w:val="0"/>
    <w:rPr>
      <w:rFonts w:ascii="Calibri" w:hAnsi="Calibri" w:eastAsia="宋体" w:cs="Times New Roman"/>
    </w:rPr>
  </w:style>
  <w:style w:type="character" w:customStyle="1" w:styleId="31">
    <w:name w:val="标题 1 Char Char"/>
    <w:basedOn w:val="12"/>
    <w:link w:val="2"/>
    <w:uiPriority w:val="9"/>
    <w:rPr>
      <w:rFonts w:ascii="黑体" w:hAnsi="黑体" w:eastAsia="黑体" w:cs="宋体"/>
      <w:color w:val="000000"/>
      <w:kern w:val="0"/>
      <w:sz w:val="30"/>
      <w:szCs w:val="30"/>
    </w:rPr>
  </w:style>
  <w:style w:type="character" w:customStyle="1" w:styleId="32">
    <w:name w:val="标题 2 Char Char"/>
    <w:basedOn w:val="12"/>
    <w:link w:val="3"/>
    <w:uiPriority w:val="0"/>
    <w:rPr>
      <w:rFonts w:ascii="Cambria" w:hAnsi="Cambria" w:eastAsia="宋体" w:cs="Times New Roman"/>
      <w:b/>
      <w:bCs/>
      <w:sz w:val="32"/>
      <w:szCs w:val="32"/>
    </w:rPr>
  </w:style>
  <w:style w:type="character" w:customStyle="1" w:styleId="33">
    <w:name w:val="标题 3 Char Char"/>
    <w:basedOn w:val="12"/>
    <w:link w:val="4"/>
    <w:uiPriority w:val="9"/>
    <w:rPr>
      <w:rFonts w:ascii="仿宋_GB2312" w:hAnsi="Calibri" w:eastAsia="仿宋_GB2312" w:cs="Times New Roman"/>
      <w:sz w:val="30"/>
      <w:szCs w:val="30"/>
    </w:rPr>
  </w:style>
  <w:style w:type="character" w:customStyle="1" w:styleId="34">
    <w:name w:val="脚注文本 Char1"/>
    <w:basedOn w:val="12"/>
    <w:link w:val="10"/>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Char"/>
    <w:basedOn w:val="12"/>
    <w:link w:val="5"/>
    <w:uiPriority w:val="0"/>
    <w:rPr>
      <w:rFonts w:ascii="宋体"/>
      <w:sz w:val="18"/>
      <w:szCs w:val="18"/>
    </w:rPr>
  </w:style>
  <w:style w:type="character" w:customStyle="1" w:styleId="37">
    <w:name w:val="批注文字 Char1"/>
    <w:basedOn w:val="12"/>
    <w:semiHidden/>
    <w:qFormat/>
    <w:uiPriority w:val="99"/>
    <w:rPr>
      <w:kern w:val="2"/>
      <w:sz w:val="21"/>
      <w:szCs w:val="22"/>
    </w:rPr>
  </w:style>
  <w:style w:type="character" w:customStyle="1" w:styleId="38">
    <w:name w:val="Intense Emphasis"/>
    <w:basedOn w:val="12"/>
    <w:qFormat/>
    <w:uiPriority w:val="21"/>
    <w:rPr>
      <w:b/>
      <w:bCs/>
      <w:i/>
      <w:iCs/>
      <w:color w:val="4F81BD"/>
    </w:rPr>
  </w:style>
  <w:style w:type="character" w:customStyle="1" w:styleId="39">
    <w:name w:val="文档结构图 Char1"/>
    <w:basedOn w:val="12"/>
    <w:semiHidden/>
    <w:qFormat/>
    <w:uiPriority w:val="99"/>
    <w:rPr>
      <w:rFonts w:ascii="宋体" w:eastAsia="宋体"/>
      <w:sz w:val="18"/>
      <w:szCs w:val="18"/>
    </w:rPr>
  </w:style>
  <w:style w:type="character" w:customStyle="1" w:styleId="40">
    <w:name w:val="脚注文本 Char2"/>
    <w:basedOn w:val="12"/>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348</Words>
  <Characters>1985</Characters>
  <Lines>16</Lines>
  <Paragraphs>4</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2020-03-17T08:13:00Z</dcterms:created>
  <dc:creator>裴建君2</dc:creator>
  <cp:lastModifiedBy>pc</cp:lastModifiedBy>
  <cp:lastPrinted>2017-11-24T00:22:00Z</cp:lastPrinted>
  <dcterms:modified xsi:type="dcterms:W3CDTF">2021-04-23T02:18:16Z</dcterms:modified>
  <dc:title>编号：57007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