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46" o:spid="_x0000_s1026" type="#_x0000_t75" style="height:69.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四、外国银行分行头寸集中管理审批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2.《银行办理结售汇业务管理办法》（中国人民银行令[2014]第2号）；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3.《国家外汇管理局关于印发〈银行办理结售汇业务管理办法实施细则〉的通知》（汇发[2014]53号）。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申请人为外国银行分行。需同时符合以下条件：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1.获得其总行或地区总部授权。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2.具备对头寸实施集中管理的内部管理制度、会计核算办法以及技术支持。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7"/>
        <w:gridCol w:w="2835"/>
        <w:gridCol w:w="992"/>
        <w:gridCol w:w="457"/>
        <w:gridCol w:w="819"/>
        <w:gridCol w:w="457"/>
        <w:gridCol w:w="2025"/>
      </w:tblGrid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总行同意实行头寸集中管理的授权文件。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45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银监会对外资金融机构在境内常驻机构批准书。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45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对头寸实施集中管理的内部管理制度、会计核算办法以及技术支持情况说明。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外汇分局应实地走访集中管理行的营业场地，现场考察和验收其技术系统对该行头寸集中管理的支持情况。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4.不予许可的，出具不予许可通知书。许可的，向申请人出具正式公文。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一般程序：申请、受理、审查、出具正式公文。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正式公文。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仿宋_GB2312" w:hAnsi="Times New Roman" w:eastAsia="仿宋_GB2312"/>
          <w:color w:val="auto"/>
          <w:sz w:val="30"/>
          <w:szCs w:val="30"/>
        </w:rPr>
        <w:t>该项行政许可具体由国家外汇管理局分局办理，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国家外汇管理局吉林省</w:t>
      </w:r>
      <w:r>
        <w:rPr>
          <w:rFonts w:ascii="仿宋_GB2312" w:hAnsi="Times New Roman" w:eastAsia="仿宋_GB2312"/>
          <w:color w:val="auto"/>
          <w:sz w:val="30"/>
          <w:szCs w:val="30"/>
        </w:rPr>
        <w:t>分局办公地址和办公时间见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国家外汇管理局吉林省分局官方互联网站“咨询反馈——联系我们”栏目。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电话、电子邮件、网址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向外汇局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吉林省分局及各市（州）中心支局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进行咨询、进程查询、监督和投诉</w:t>
      </w:r>
      <w:r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可通过国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家外汇管理局吉林省分局官方互联网站“咨询反馈”栏目进行。网址为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"http://www.safe.gov.cn/jilin"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color w:val="auto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公布的电话进行。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color w:val="auto"/>
        </w:rPr>
        <w:fldChar w:fldCharType="end"/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向外汇局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吉林省分局及各市（州）中心支局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进行咨询、监督和投诉等可通过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国家外汇管理局吉林省分局官方互联网站“咨询反馈”栏目进行。网址为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"http://www.safe.gov.cn/jilin"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color w:val="auto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公布的电话进行。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（二十一）申请材料示范文本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无固定格式。有关内容要求详见（六）申请材料。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审批时限在20个工作日以内。但办理过程中所需的现场验收等，不计入时</w:t>
      </w:r>
      <w:r>
        <w:rPr>
          <w:rFonts w:ascii="Times New Roman" w:hAnsi="Times New Roman" w:eastAsia="仿宋_GB2312" w:cs="Times New Roman"/>
          <w:sz w:val="30"/>
          <w:szCs w:val="30"/>
        </w:rPr>
        <w:t>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申请材料不完全符合规定，例如银监会对外资金融机构在境内常驻机构批准书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未加盖企业公章等。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组合 1026" o:spid="_x0000_s1027" style="position:absolute;left:0;margin-left:-39.65pt;margin-top:26.1pt;height:455.7pt;width:459.7pt;rotation:0f;z-index:251658240;" coordorigin="1007,3210" coordsize="9194,9114">
            <o:lock v:ext="edit" position="f" selection="f" grouping="f" rotation="f" cropping="f" text="f" aspectratio="f"/>
            <v:shape id="_x0000_s1546" o:spid="_x0000_s1028" type="#_x0000_t32" style="position:absolute;left:2612;top:4693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47" o:spid="_x0000_s1029" type="#_x0000_t32" style="position:absolute;left:3667;top:6413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48" o:spid="_x0000_s1030" type="#_x0000_t32" style="position:absolute;left:3667;top:7217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49" o:spid="_x0000_s1031" type="#_x0000_t32" style="position:absolute;left:8191;top:5266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50" o:spid="_x0000_s1032" type="#_x0000_t32" style="position:absolute;left:2629;top:4981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51" o:spid="_x0000_s1033" type="#_x0000_t32" style="position:absolute;left:539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52" o:spid="_x0000_s1034" type="#_x0000_t32" style="position:absolute;left:6547;top:10247;height:905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53" o:spid="_x0000_s1035" type="#_x0000_t32" style="position:absolute;left:4432;top:10247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54" o:spid="_x0000_s1036" type="#_x0000_t32" style="position:absolute;left:2612;top:7450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_x0000_s1555" o:spid="_x0000_s1037" type="#_x0000_t32" style="position:absolute;left:2612;top:884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56" o:spid="_x0000_s1038" type="#_x0000_t110" style="position:absolute;left:1007;top:5891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_x0000_s1557" o:spid="_x0000_s1039" style="position:absolute;left:7272;top:4470;height:796;width:209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rect id="_x0000_s1558" o:spid="_x0000_s1040" style="position:absolute;left:4839;top:6161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_x0000_s1559" o:spid="_x0000_s1041" style="position:absolute;left:4839;top:7013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_x0000_s1560" o:spid="_x0000_s1042" style="position:absolute;left:3433;top:8673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_x0000_s1561" o:spid="_x0000_s1043" style="position:absolute;left:3434;top:9713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_x0000_s1562" o:spid="_x0000_s1044" style="position:absolute;left:1771;top:3210;height:1483;width:251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  <v:rect id="_x0000_s1563" o:spid="_x0000_s1045" style="position:absolute;left:3433;top:11152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_x0000_s1564" o:spid="_x0000_s1046" style="position:absolute;left:5790;top:11152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</v:group>
        </w:pic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qFormat/>
    <w:uiPriority w:val="99"/>
    <w:pPr>
      <w:jc w:val="left"/>
    </w:pPr>
    <w:rPr>
      <w:rFonts w:cs="Times New Roman"/>
    </w:rPr>
  </w:style>
  <w:style w:type="paragraph" w:styleId="7">
    <w:name w:val="Body Text"/>
    <w:basedOn w:val="1"/>
    <w:link w:val="41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8"/>
    <w:unhideWhenUsed/>
    <w:uiPriority w:val="0"/>
    <w:rPr>
      <w:sz w:val="18"/>
      <w:szCs w:val="18"/>
    </w:rPr>
  </w:style>
  <w:style w:type="paragraph" w:styleId="9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qFormat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6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cs="黑体"/>
      <w:kern w:val="2"/>
      <w:sz w:val="21"/>
      <w:szCs w:val="22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26">
    <w:name w:val="页眉 Char Char"/>
    <w:basedOn w:val="13"/>
    <w:link w:val="10"/>
    <w:uiPriority w:val="99"/>
    <w:rPr>
      <w:sz w:val="18"/>
      <w:szCs w:val="18"/>
    </w:rPr>
  </w:style>
  <w:style w:type="character" w:customStyle="1" w:styleId="27">
    <w:name w:val="页脚 Char Char"/>
    <w:basedOn w:val="13"/>
    <w:link w:val="9"/>
    <w:uiPriority w:val="99"/>
    <w:rPr>
      <w:sz w:val="18"/>
      <w:szCs w:val="18"/>
    </w:rPr>
  </w:style>
  <w:style w:type="character" w:customStyle="1" w:styleId="28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29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38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3"/>
    <w:semiHidden/>
    <w:qFormat/>
    <w:uiPriority w:val="99"/>
    <w:rPr>
      <w:sz w:val="18"/>
      <w:szCs w:val="18"/>
    </w:rPr>
  </w:style>
  <w:style w:type="character" w:customStyle="1" w:styleId="41">
    <w:name w:val="正文文本 Char Char"/>
    <w:basedOn w:val="13"/>
    <w:link w:val="7"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328</Words>
  <Characters>1873</Characters>
  <Lines>15</Lines>
  <Paragraphs>4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pc</cp:lastModifiedBy>
  <cp:lastPrinted>2017-11-24T00:22:00Z</cp:lastPrinted>
  <dcterms:modified xsi:type="dcterms:W3CDTF">2021-04-23T04:38:43Z</dcterms:modified>
  <dc:title>编号：57013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