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70.15pt;width:86.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国家外汇管理局或国家外汇管理局</w:t>
      </w:r>
      <w:r>
        <w:rPr>
          <w:rFonts w:hint="eastAsia" w:ascii="Times New Roman" w:hAnsi="Times New Roman" w:eastAsia="仿宋_GB2312" w:cs="Times New Roman"/>
          <w:color w:val="auto"/>
          <w:sz w:val="30"/>
          <w:szCs w:val="30"/>
        </w:rPr>
        <w:t>吉林省分局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2410"/>
        <w:gridCol w:w="2127"/>
        <w:gridCol w:w="567"/>
        <w:gridCol w:w="992"/>
        <w:gridCol w:w="567"/>
        <w:gridCol w:w="1326"/>
      </w:tblGrid>
      <w:tr>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吉林省分局及各市（州）中心支局</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5"/>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ascii="Times New Roman" w:hAnsi="Times New Roman" w:eastAsia="仿宋_GB2312" w:cs="Times New Roman"/>
          <w:sz w:val="30"/>
          <w:szCs w:val="30"/>
        </w:rPr>
      </w:pPr>
      <w:r>
        <w:rPr>
          <w:rFonts w:eastAsia="仿宋_GB2312"/>
          <w:sz w:val="30"/>
          <w:szCs w:val="30"/>
        </w:rPr>
        <w:t>该项行政许可具体由国家外汇管理局分支局办理，</w:t>
      </w:r>
      <w:r>
        <w:rPr>
          <w:rFonts w:hint="eastAsia" w:eastAsia="仿宋_GB2312"/>
          <w:sz w:val="30"/>
          <w:szCs w:val="30"/>
        </w:rPr>
        <w:t>国家外汇管理局吉林省各市（州）中心支局的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bookmarkStart w:id="0" w:name="_GoBack"/>
      <w:bookmarkEnd w:id="0"/>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2.35pt;margin-top:8.4pt;height:586.05pt;width:446.05pt;rotation:0f;z-index:251658240;" coordorigin="1347,3000" coordsize="8921,11721">
            <o:lock v:ext="edit" position="f" selection="f" grouping="f" rotation="f" cropping="f" text="f" aspectratio="f"/>
            <v:rect id="Rectangle 1395"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99"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00"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01"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02"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347;top:3000;height:7693;width:8921;rotation:0f;" coordorigin="1347,3000" coordsize="8921,7693">
              <o:lock v:ext="edit" position="f" selection="f" grouping="f" rotation="f" cropping="f" text="f" aspectratio="f"/>
              <v:shape id="AutoShape 1404"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347;top:3000;height:7693;width:8921;rotation:0f;" coordorigin="1347,3000" coordsize="8921,7693">
                <o:lock v:ext="edit" position="f" selection="f" grouping="f" rotation="f" cropping="f" text="f" aspectratio="f"/>
                <v:shape id="AutoShape 1406"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407"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409"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6"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347;top:3000;height:7424;width:4594;rotation:0f;" coordorigin="1347,3000" coordsize="4594,7424">
                  <o:lock v:ext="edit" position="f" selection="f" grouping="f" rotation="f" cropping="f" text="f" aspectratio="f"/>
                  <v:shape id="AutoShape 1415"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16"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347;top:3000;height:3986;width:3629;rotation:0f;" coordorigin="1347,3000" coordsize="3629,3986">
                    <o:lock v:ext="edit" position="f" selection="f" grouping="f" rotation="f" cropping="f" text="f" aspectratio="f"/>
                    <v:shape id="AutoShape 1418"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19" o:spid="_x0000_s1052" type="#_x0000_t32" style="position:absolute;left:3747;top:5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20" o:spid="_x0000_s1053"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23"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24"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425"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60" type="#_x0000_t32" style="position:absolute;left:8731;top:4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1720</Characters>
  <Lines>14</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pc</cp:lastModifiedBy>
  <cp:lastPrinted>2020-07-02T09:04:00Z</cp:lastPrinted>
  <dcterms:modified xsi:type="dcterms:W3CDTF">2021-04-23T03:45:05Z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