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编号：57013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框 1048" o:spid="_x0000_s1026" type="#_x0000_t75" style="height:69.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“银行、农村信用社、兑换机构及非金融机构等结汇、售汇业务市场准入、退出审批”行政审批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吉林省分局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四、银行合作办理远期结售汇业务市场准入审批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2.《国家外汇管理局关于合作办理远期结售汇业务有关问题的通知》（汇发[2010]62号）。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</w:t>
      </w:r>
      <w:r>
        <w:rPr>
          <w:rFonts w:ascii="Times New Roman" w:hAnsi="Times New Roman" w:eastAsia="仿宋_GB2312" w:cs="Times New Roman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吉林省分局</w:t>
      </w:r>
      <w:r>
        <w:rPr>
          <w:rFonts w:ascii="Times New Roman" w:hAnsi="Times New Roman" w:eastAsia="仿宋_GB2312" w:cs="Times New Roman"/>
          <w:sz w:val="30"/>
          <w:szCs w:val="30"/>
        </w:rPr>
        <w:t>申请，如处于市（地、州、区）、县，应向所在地国家外汇管理局中心支局或支局申请，并逐级上报至国家外汇管理局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吉林省分局。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吉林省分局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申请人可为境内银行总行或其分支机构。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1.境内银行总行需同时符合以下条件：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（1）具有国家外汇管理局及其分支局核准的即期结售汇业务资格，并已开办即期结售汇业务2年（含）以上；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（2）近2年（含）即期结售汇业务经营中未发生重大违规行为；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（3）上年度外汇资产季平均余额在等值2000万美元（含）以上；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（4）近2年执行外汇管理规定情况考核等级为B级（含）以上；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（5）具有完善的合作办理远期结售汇业务管理制度；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2.境内银行分支机构需同时符合以下条件：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（1）具有国家外汇管理局及其分支局核准的即期结售汇业务资格，并已开办即期结售汇业务2年（含）以上；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（2）近2年（含）即期结售汇业务经营中未发生重大违规行为；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（3）近2年执行外汇管理规定情况考核等级为B级（含）以上；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（4）取得其总行（或总社）授权。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银行总行合作办理远期结售汇业务市场准入审批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上年度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个季度的外汇资产负债表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银行分支机构合作办理远期结售汇业务市场准入审批</w:t>
      </w:r>
      <w:r>
        <w:rPr>
          <w:rFonts w:ascii="Times New Roman" w:hAnsi="Times New Roman" w:eastAsia="仿宋_GB2312" w:cs="Times New Roman"/>
          <w:sz w:val="30"/>
          <w:szCs w:val="30"/>
        </w:rPr>
        <w:t>申请材料</w:t>
      </w:r>
    </w:p>
    <w:tbl>
      <w:tblPr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835"/>
        <w:gridCol w:w="961"/>
        <w:gridCol w:w="457"/>
        <w:gridCol w:w="850"/>
        <w:gridCol w:w="1843"/>
        <w:gridCol w:w="639"/>
      </w:tblGrid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申请报告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合作办理远期结售汇业务相关管理制度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包括：业务操作规程、内部职责分工、统计报告制度、风险控制措施、会计核算制度等</w:t>
            </w:r>
          </w:p>
        </w:tc>
        <w:tc>
          <w:tcPr>
            <w:tcW w:w="63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与具备资格银行签订的合作协议书范本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  <w:t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总行（或总社）的授权文件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申请人可通过窗口、邮寄、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4.不予许可的，出具不予许可通知书。许可的，向申请人出具备案通知书。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一般程序：申请、受理、审查、出具备案通知书。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备案通知书。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（十六）办公地址和时间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该项行政许可具体由国家外汇管理局分支局办理，</w:t>
      </w:r>
      <w:r>
        <w:rPr>
          <w:rFonts w:hint="eastAsia" w:eastAsia="仿宋_GB2312"/>
          <w:sz w:val="30"/>
          <w:szCs w:val="30"/>
        </w:rPr>
        <w:t>国家外汇管理局吉林省各市（州）中心支局的</w:t>
      </w:r>
      <w:r>
        <w:rPr>
          <w:rFonts w:eastAsia="仿宋_GB2312"/>
          <w:sz w:val="30"/>
          <w:szCs w:val="30"/>
        </w:rPr>
        <w:t>办公地址和办公时间见</w:t>
      </w:r>
      <w:r>
        <w:rPr>
          <w:rFonts w:hint="eastAsia" w:eastAsia="仿宋_GB2312"/>
          <w:sz w:val="30"/>
          <w:szCs w:val="30"/>
        </w:rPr>
        <w:t>国家外汇管理局吉林省分局官方互联网站“咨询反馈——联系我们”栏目。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电话、电子邮件、网址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（十九）办理进程和结果公开查询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向外汇局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吉林省分局及各市（州）中心支局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进行咨询、进程查询、监督和投诉等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highlight w:val="none"/>
        </w:rPr>
        <w:t>可通过国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家外汇管理局吉林省分局官方互联网站“咨询反馈”栏目进行。网址为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"http://www.safe.gov.cn/jilin"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www.safe.gov.cn/jilin</w:t>
      </w:r>
      <w:r>
        <w:rPr>
          <w:color w:val="auto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，也可通过国家外汇管理局吉林省分局官方互联网站“咨询反馈——联系我们”栏目中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通过国家外汇管理局政务服务网上办理系统提交申请的，可在该系统内进行查询。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（二十）监督投诉渠道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向国家外汇管理局咨询、监督投诉等可通过国家外汇管理局官方互联网站公众交流栏目进行。网址为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rPr>
          <w:color w:val="auto"/>
        </w:rPr>
        <w:fldChar w:fldCharType="end"/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auto"/>
          <w:sz w:val="30"/>
          <w:szCs w:val="30"/>
        </w:rPr>
      </w:pP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向外汇局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吉林省分局及各市（州）中心支局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进行咨询、监督和投诉等可通过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国家外汇管理局吉林省分局官方互联网站“咨询反馈”栏目进行。网址为</w:t>
      </w:r>
      <w:r>
        <w:rPr>
          <w:color w:val="auto"/>
        </w:rPr>
        <w:fldChar w:fldCharType="begin"/>
      </w:r>
      <w:r>
        <w:rPr>
          <w:color w:val="auto"/>
        </w:rPr>
        <w:instrText xml:space="preserve">HYPERLINK "http://www.safe.gov.cn/jilin" </w:instrText>
      </w:r>
      <w:r>
        <w:rPr>
          <w:color w:val="auto"/>
        </w:rPr>
        <w:fldChar w:fldCharType="separate"/>
      </w:r>
      <w:r>
        <w:rPr>
          <w:rStyle w:val="16"/>
          <w:rFonts w:ascii="Times New Roman" w:hAnsi="Times New Roman" w:eastAsia="仿宋_GB2312" w:cs="Times New Roman"/>
          <w:color w:val="auto"/>
          <w:sz w:val="30"/>
          <w:szCs w:val="30"/>
        </w:rPr>
        <w:t>www.safe.gov.cn/jilin</w:t>
      </w:r>
      <w:r>
        <w:rPr>
          <w:color w:val="auto"/>
        </w:rPr>
        <w:fldChar w:fldCharType="end"/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，也可通过国家外汇管理局吉林省分局官方互联网站“咨询反馈——联系我们”栏目中</w:t>
      </w:r>
      <w:r>
        <w:rPr>
          <w:rFonts w:ascii="Times New Roman" w:hAnsi="Times New Roman" w:eastAsia="仿宋_GB2312" w:cs="Times New Roman"/>
          <w:color w:val="auto"/>
          <w:sz w:val="30"/>
          <w:szCs w:val="30"/>
        </w:rPr>
        <w:t>公布的电话进行。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color w:val="auto"/>
          <w:sz w:val="30"/>
          <w:szCs w:val="30"/>
        </w:rPr>
      </w:pPr>
      <w:r>
        <w:rPr>
          <w:rFonts w:ascii="Times New Roman" w:hAnsi="Times New Roman" w:eastAsia="黑体" w:cs="Times New Roman"/>
          <w:color w:val="auto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无固定格式，但需要根据总行、分支机构提供不同的材料，有关内容要求详见（六）申请材料。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合作办理远期结售汇业务相关管理制度包含内容不全等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 w:firstLine="600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group id="组合 1026" o:spid="_x0000_s1027" style="position:absolute;left:0;margin-left:-39.65pt;margin-top:0.9pt;height:418.5pt;width:459.7pt;rotation:0f;z-index:251661312;" coordorigin="1007,3330" coordsize="9194,8370">
            <o:lock v:ext="edit" position="f" selection="f" grouping="f" rotation="f" cropping="f" text="f" aspectratio="f"/>
            <v:shape id="_x0000_s1517" o:spid="_x0000_s1028" type="#_x0000_t32" style="position:absolute;left:5392;top:8652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18" o:spid="_x0000_s1029" type="#_x0000_t32" style="position:absolute;left:6547;top:9623;height:905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19" o:spid="_x0000_s1030" type="#_x0000_t32" style="position:absolute;left:4432;top:9623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20" o:spid="_x0000_s1031" type="#_x0000_t32" style="position:absolute;left:2612;top:6826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_x0000_s1521" o:spid="_x0000_s1032" type="#_x0000_t32" style="position:absolute;left:2612;top:8217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rect id="_x0000_s1522" o:spid="_x0000_s1033" style="position:absolute;left:4839;top:6389;height:906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  <w:p/>
                </w:txbxContent>
              </v:textbox>
            </v:rect>
            <v:rect id="_x0000_s1523" o:spid="_x0000_s1034" style="position:absolute;left:3433;top:8049;height:603;width:4104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依法应予受理，出具受理单</w:t>
                    </w:r>
                  </w:p>
                  <w:p/>
                </w:txbxContent>
              </v:textbox>
            </v:rect>
            <v:rect id="_x0000_s1524" o:spid="_x0000_s1035" style="position:absolute;left:3434;top:9089;height:534;width:425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  <w:p/>
                </w:txbxContent>
              </v:textbox>
            </v:rect>
            <v:rect id="_x0000_s1525" o:spid="_x0000_s1036" style="position:absolute;left:3433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予以许可，向申请人出具正式公文或备案表</w:t>
                    </w:r>
                  </w:p>
                  <w:p/>
                </w:txbxContent>
              </v:textbox>
            </v:rect>
            <v:rect id="_x0000_s1526" o:spid="_x0000_s1037" style="position:absolute;left:5790;top:10528;height:1172;width:1747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依法作出不予许可决定，并送达</w:t>
                    </w:r>
                  </w:p>
                  <w:p/>
                </w:txbxContent>
              </v:textbox>
            </v:rect>
            <v:shape id="_x0000_s1527" o:spid="_x0000_s1038" type="#_x0000_t32" style="position:absolute;left:2612;top:4693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28" o:spid="_x0000_s1039" type="#_x0000_t32" style="position:absolute;left:3570;top:5789;height:1;width:1269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29" o:spid="_x0000_s1040" type="#_x0000_t32" style="position:absolute;left:3667;top:6593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30" o:spid="_x0000_s1041" type="#_x0000_t32" style="position:absolute;left:8191;top:5266;flip:y;height:271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31" o:spid="_x0000_s1042" type="#_x0000_t32" style="position:absolute;left:2629;top:4981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_x0000_s1532" o:spid="_x0000_s1043" type="#_x0000_t110" style="position:absolute;left:1007;top:5267;height:1889;width:327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接件并当场（或5个工作日）作出是否受理决定</w:t>
                    </w:r>
                  </w:p>
                  <w:p/>
                </w:txbxContent>
              </v:textbox>
            </v:shape>
            <v:rect id="_x0000_s1533" o:spid="_x0000_s1044" style="position:absolute;left:4839;top:5537;height:500;width:53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  <w:p/>
                </w:txbxContent>
              </v:textbox>
            </v:rect>
            <v:rect id="_x0000_s1534" o:spid="_x0000_s1045" style="position:absolute;left:1771;top:3330;height:1363;width:2662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spacing w:before="34"/>
                      <w:rPr>
                        <w:rFonts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>申请人以现场、邮寄、国家外汇管理局政务服务网上办理系统等提交材料提出书面申请，并提交材料</w:t>
                    </w:r>
                  </w:p>
                  <w:p/>
                </w:txbxContent>
              </v:textbox>
            </v:rect>
          </v:group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515" o:spid="_x0000_s1046" style="position:absolute;left:0;margin-left:273.6pt;margin-top:57.9pt;height:39.8pt;width:104.7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514" o:spid="_x0000_s1047" style="position:absolute;left:0;margin-left:-1.45pt;margin-top:0.9pt;height:68.15pt;width:133.1pt;rotation:0f;z-index:25165926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申请人以现场、邮寄、国家外汇管理局政务服务网上办理系统等提交材料提出书面申请，并提交材料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_x0000_s1512" o:spid="_x0000_s1048" style="position:absolute;left:0;margin-left:273.6pt;margin-top:26.7pt;height:39.8pt;width:104.7pt;rotation:0f;z-index:25165824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cs="Times New Roma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3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qFormat/>
    <w:uiPriority w:val="99"/>
    <w:pPr>
      <w:jc w:val="left"/>
    </w:pPr>
    <w:rPr>
      <w:rFonts w:cs="Times New Roman"/>
    </w:rPr>
  </w:style>
  <w:style w:type="paragraph" w:styleId="7">
    <w:name w:val="Body Text"/>
    <w:basedOn w:val="1"/>
    <w:link w:val="41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Balloon Text"/>
    <w:basedOn w:val="1"/>
    <w:link w:val="28"/>
    <w:unhideWhenUsed/>
    <w:uiPriority w:val="0"/>
    <w:rPr>
      <w:sz w:val="18"/>
      <w:szCs w:val="18"/>
    </w:rPr>
  </w:style>
  <w:style w:type="paragraph" w:styleId="9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2">
    <w:name w:val="脚注文本 Char"/>
    <w:basedOn w:val="13"/>
    <w:semiHidden/>
    <w:qFormat/>
    <w:uiPriority w:val="99"/>
    <w:rPr>
      <w:kern w:val="2"/>
      <w:sz w:val="18"/>
      <w:szCs w:val="18"/>
    </w:rPr>
  </w:style>
  <w:style w:type="paragraph" w:styleId="14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6">
    <w:name w:val="Hyperlink"/>
    <w:basedOn w:val="13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3"/>
    <w:semiHidden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qFormat/>
    <w:uiPriority w:val="99"/>
    <w:rPr>
      <w:rFonts w:ascii="Calibri" w:hAnsi="Calibri" w:cs="黑体"/>
      <w:kern w:val="2"/>
      <w:sz w:val="21"/>
      <w:szCs w:val="22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6">
    <w:name w:val="页眉 Char Char"/>
    <w:basedOn w:val="13"/>
    <w:link w:val="10"/>
    <w:uiPriority w:val="99"/>
    <w:rPr>
      <w:sz w:val="18"/>
      <w:szCs w:val="18"/>
    </w:rPr>
  </w:style>
  <w:style w:type="character" w:customStyle="1" w:styleId="27">
    <w:name w:val="页脚 Char Char"/>
    <w:basedOn w:val="13"/>
    <w:link w:val="9"/>
    <w:uiPriority w:val="99"/>
    <w:rPr>
      <w:sz w:val="18"/>
      <w:szCs w:val="18"/>
    </w:rPr>
  </w:style>
  <w:style w:type="character" w:customStyle="1" w:styleId="28">
    <w:name w:val="批注框文本 Char Char"/>
    <w:basedOn w:val="13"/>
    <w:link w:val="8"/>
    <w:uiPriority w:val="0"/>
    <w:rPr>
      <w:sz w:val="18"/>
      <w:szCs w:val="18"/>
    </w:rPr>
  </w:style>
  <w:style w:type="character" w:customStyle="1" w:styleId="29">
    <w:name w:val="HTML 预设格式 Char Char"/>
    <w:basedOn w:val="13"/>
    <w:link w:val="14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3"/>
    <w:link w:val="11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38">
    <w:name w:val="明显强调1"/>
    <w:basedOn w:val="13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3"/>
    <w:semiHidden/>
    <w:qFormat/>
    <w:uiPriority w:val="99"/>
    <w:rPr>
      <w:sz w:val="18"/>
      <w:szCs w:val="18"/>
    </w:rPr>
  </w:style>
  <w:style w:type="character" w:customStyle="1" w:styleId="41">
    <w:name w:val="正文文本 Char Char"/>
    <w:basedOn w:val="13"/>
    <w:link w:val="7"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410</Words>
  <Characters>2339</Characters>
  <Lines>19</Lines>
  <Paragraphs>5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pc</cp:lastModifiedBy>
  <cp:lastPrinted>2020-05-08T01:02:00Z</cp:lastPrinted>
  <dcterms:modified xsi:type="dcterms:W3CDTF">2021-04-23T04:39:56Z</dcterms:modified>
  <dc:title>编号：57013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