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62" o:spid="_x0000_s1026" type="#_x0000_t75" style="height:70.15pt;width:86.9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bookmarkStart w:id="5" w:name="_GoBack"/>
      <w:bookmarkEnd w:id="5"/>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7.《中国人民银行  国家外汇管理局关于调整全口径跨境融资宏观审慎调节参数的通知》（银发〔2020〕64号）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《中国人民银行  国家外汇管理局关于调整跨境融资宏观审慎</w:t>
      </w:r>
      <w:r>
        <w:rPr>
          <w:rFonts w:hint="eastAsia" w:ascii="Times New Roman" w:hAnsi="Times New Roman" w:eastAsia="仿宋_GB2312" w:cs="Times New Roman"/>
          <w:sz w:val="30"/>
          <w:szCs w:val="30"/>
        </w:rPr>
        <w:t>政策</w:t>
      </w:r>
      <w:r>
        <w:rPr>
          <w:rFonts w:ascii="Times New Roman" w:hAnsi="Times New Roman" w:eastAsia="仿宋_GB2312" w:cs="Times New Roman"/>
          <w:sz w:val="30"/>
          <w:szCs w:val="30"/>
        </w:rPr>
        <w:t>的通知》（银发〔2020〕</w:t>
      </w:r>
      <w:r>
        <w:rPr>
          <w:rFonts w:hint="eastAsia" w:ascii="Times New Roman" w:hAnsi="Times New Roman" w:eastAsia="仿宋_GB2312" w:cs="Times New Roman"/>
          <w:sz w:val="30"/>
          <w:szCs w:val="30"/>
        </w:rPr>
        <w:t>301</w:t>
      </w:r>
      <w:r>
        <w:rPr>
          <w:rFonts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支局办理外债签约登记手续。非银行债务人融资租赁、售后融资性回租和发行境外债券等，也应办理外债签约登记手续。</w:t>
      </w:r>
    </w:p>
    <w:p>
      <w:pPr>
        <w:adjustRightInd w:val="0"/>
        <w:snapToGrid w:val="0"/>
        <w:spacing w:line="360" w:lineRule="auto"/>
        <w:ind w:firstLine="601"/>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253"/>
        <w:gridCol w:w="992"/>
        <w:gridCol w:w="567"/>
        <w:gridCol w:w="851"/>
        <w:gridCol w:w="567"/>
        <w:gridCol w:w="759"/>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5"/>
        <w:gridCol w:w="5567"/>
        <w:gridCol w:w="992"/>
        <w:gridCol w:w="387"/>
        <w:gridCol w:w="587"/>
        <w:gridCol w:w="494"/>
        <w:gridCol w:w="494"/>
      </w:tblGrid>
      <w:tr>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253"/>
        <w:gridCol w:w="992"/>
        <w:gridCol w:w="567"/>
        <w:gridCol w:w="851"/>
        <w:gridCol w:w="709"/>
        <w:gridCol w:w="708"/>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1417"/>
        <w:gridCol w:w="992"/>
        <w:gridCol w:w="993"/>
        <w:gridCol w:w="708"/>
        <w:gridCol w:w="993"/>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9"/>
        <w:gridCol w:w="4223"/>
        <w:gridCol w:w="985"/>
        <w:gridCol w:w="563"/>
        <w:gridCol w:w="845"/>
        <w:gridCol w:w="563"/>
        <w:gridCol w:w="754"/>
      </w:tblGrid>
      <w:tr>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hint="eastAsia"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hint="eastAsia" w:ascii="Times New Roman" w:hAnsi="Times New Roman" w:eastAsia="仿宋_GB2312" w:cs="Times New Roman"/>
          <w:sz w:val="30"/>
        </w:rPr>
      </w:pPr>
      <w:r>
        <w:rPr>
          <w:rFonts w:ascii="Times New Roman" w:hAnsi="Times New Roman" w:eastAsia="黑体" w:cs="Times New Roman"/>
          <w:sz w:val="30"/>
          <w:szCs w:val="30"/>
        </w:rPr>
        <w:t>（十五）咨询途径、监督和投诉</w:t>
      </w:r>
    </w:p>
    <w:p>
      <w:pPr>
        <w:adjustRightInd w:val="0"/>
        <w:snapToGrid w:val="0"/>
        <w:spacing w:line="360" w:lineRule="auto"/>
        <w:ind w:firstLine="600"/>
        <w:rPr>
          <w:rFonts w:hint="eastAsia" w:ascii="Times New Roman" w:hAnsi="Times New Roman" w:eastAsia="仿宋_GB2312" w:cs="Times New Roman"/>
          <w:sz w:val="30"/>
        </w:rPr>
      </w:pPr>
      <w:r>
        <w:rPr>
          <w:rFonts w:eastAsia="仿宋_GB2312"/>
          <w:sz w:val="30"/>
          <w:szCs w:val="30"/>
        </w:rPr>
        <w:t>向国家外汇管理局咨询、监督投诉等可通过国家外汇管理局官方互联网站公众交流栏目进行</w:t>
      </w:r>
      <w:r>
        <w:rPr>
          <w:rFonts w:hint="eastAsia" w:eastAsia="仿宋_GB2312"/>
          <w:sz w:val="30"/>
          <w:szCs w:val="30"/>
        </w:rPr>
        <w:t>，</w:t>
      </w:r>
      <w:r>
        <w:rPr>
          <w:rFonts w:eastAsia="仿宋_GB2312"/>
          <w:sz w:val="30"/>
          <w:szCs w:val="30"/>
        </w:rPr>
        <w:t>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adjustRightInd w:val="0"/>
        <w:snapToGrid w:val="0"/>
        <w:spacing w:line="360" w:lineRule="auto"/>
        <w:ind w:firstLine="600"/>
        <w:rPr>
          <w:rFonts w:hint="eastAsia" w:ascii="Times New Roman" w:hAnsi="Times New Roman" w:eastAsia="仿宋_GB2312" w:cs="Times New Roman"/>
          <w:sz w:val="30"/>
        </w:rPr>
      </w:pPr>
      <w:r>
        <w:rPr>
          <w:rFonts w:eastAsia="仿宋_GB2312"/>
          <w:sz w:val="30"/>
          <w:szCs w:val="30"/>
        </w:rPr>
        <w:t>向外汇局</w:t>
      </w:r>
      <w:r>
        <w:rPr>
          <w:rFonts w:hint="eastAsia" w:eastAsia="仿宋_GB2312"/>
          <w:sz w:val="30"/>
          <w:szCs w:val="30"/>
        </w:rPr>
        <w:t>吉林省分局及各市（州）中心支局</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adjustRightInd w:val="0"/>
        <w:snapToGrid w:val="0"/>
        <w:spacing w:line="360" w:lineRule="auto"/>
        <w:ind w:firstLine="600"/>
        <w:rPr>
          <w:rFonts w:hint="eastAsia" w:ascii="Times New Roman" w:hAnsi="Times New Roman" w:eastAsia="仿宋_GB2312" w:cs="Times New Roman"/>
          <w:sz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adjustRightInd w:val="0"/>
        <w:snapToGrid w:val="0"/>
        <w:spacing w:line="360" w:lineRule="auto"/>
        <w:ind w:firstLine="600"/>
        <w:rPr>
          <w:rFonts w:ascii="Times New Roman" w:hAnsi="Times New Roman" w:eastAsia="仿宋_GB2312" w:cs="Times New Roman"/>
          <w:sz w:val="30"/>
        </w:rPr>
      </w:pPr>
      <w:r>
        <w:rPr>
          <w:rFonts w:eastAsia="仿宋_GB2312"/>
          <w:sz w:val="30"/>
          <w:szCs w:val="30"/>
        </w:rPr>
        <w:t>该项行政许可具体由国家外汇管理局分支局办理，</w:t>
      </w:r>
      <w:r>
        <w:rPr>
          <w:rFonts w:hint="eastAsia" w:eastAsia="仿宋_GB2312"/>
          <w:sz w:val="30"/>
          <w:szCs w:val="30"/>
        </w:rPr>
        <w:t>国家外汇管理局吉林省各市（州）中心支局的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026" o:spid="_x0000_s1027" style="position:absolute;left:0;margin-left:-18pt;margin-top:28.25pt;height:586.05pt;width:453.65pt;rotation:0f;z-index:251660288;"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5028274"/>
      <w:bookmarkStart w:id="1" w:name="_Toc492328435"/>
      <w:bookmarkStart w:id="2" w:name="_Toc495992552"/>
      <w:bookmarkStart w:id="3" w:name="_Toc487492193"/>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59"/>
        <w:gridCol w:w="709"/>
        <w:gridCol w:w="1673"/>
        <w:gridCol w:w="1461"/>
        <w:gridCol w:w="268"/>
        <w:gridCol w:w="1592"/>
        <w:gridCol w:w="47"/>
        <w:gridCol w:w="23"/>
        <w:gridCol w:w="1790"/>
      </w:tblGrid>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59"/>
        <w:gridCol w:w="709"/>
        <w:gridCol w:w="1712"/>
        <w:gridCol w:w="1422"/>
        <w:gridCol w:w="207"/>
        <w:gridCol w:w="61"/>
        <w:gridCol w:w="1592"/>
        <w:gridCol w:w="47"/>
        <w:gridCol w:w="23"/>
        <w:gridCol w:w="1790"/>
      </w:tblGrid>
      <w:tr>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1" type="#_x0000_t3" style="position:absolute;left:0;margin-left:8.9pt;margin-top:-1.5pt;height:28.8pt;width:63.95pt;rotation:0f;z-index:251658240;" o:ole="f" fillcolor="#9CBEE0" filled="f" o:preferrelative="t" stroked="t" coordorigin="0,0" coordsize="21600,21600">
                  <v:fill on="f" color2="#BBD5F0" focus="0%"/>
                  <v:stroke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2" type="#_x0000_t48" style="position:absolute;left:0;margin-left:254.25pt;margin-top:-8.05pt;height:38.65pt;width:67.95pt;rotation:0f;z-index:251659264;" o:ole="f" fillcolor="#9CBEE0" filled="f" o:preferrelative="t" stroked="t" coordorigin="0,0" coordsize="21600,21600" adj="-5404,-22662,-3656,5030,-1907,5030">
                  <v:fill on="f" color2="#BBD5F0" focus="0%"/>
                  <v:stroke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8197"/>
      </w:tblGrid>
      <w:tr>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5"/>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qFormat/>
    <w:uiPriority w:val="0"/>
    <w:rPr>
      <w:rFonts w:ascii="宋体"/>
      <w:sz w:val="18"/>
      <w:szCs w:val="18"/>
    </w:rPr>
  </w:style>
  <w:style w:type="paragraph" w:styleId="6">
    <w:name w:val="annotation text"/>
    <w:basedOn w:val="1"/>
    <w:link w:val="31"/>
    <w:unhideWhenUsed/>
    <w:qFormat/>
    <w:uiPriority w:val="99"/>
    <w:pPr>
      <w:jc w:val="left"/>
    </w:pPr>
    <w:rPr>
      <w:rFonts w:cs="Times New Roman"/>
    </w:rPr>
  </w:style>
  <w:style w:type="paragraph" w:styleId="7">
    <w:name w:val="Balloon Text"/>
    <w:basedOn w:val="1"/>
    <w:link w:val="28"/>
    <w:unhideWhenUsed/>
    <w:qFormat/>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paragraph" w:customStyle="1" w:styleId="22">
    <w:name w:val="修订1"/>
    <w:hidden/>
    <w:semiHidden/>
    <w:qFormat/>
    <w:uiPriority w:val="99"/>
    <w:rPr>
      <w:rFonts w:ascii="Calibri" w:hAnsi="Calibri" w:cs="黑体"/>
      <w:kern w:val="2"/>
      <w:sz w:val="21"/>
      <w:szCs w:val="22"/>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qFormat/>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明显强调1"/>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16</Pages>
  <Words>1030</Words>
  <Characters>5871</Characters>
  <Lines>48</Lines>
  <Paragraphs>13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pc</cp:lastModifiedBy>
  <cp:lastPrinted>2020-07-02T08:51:00Z</cp:lastPrinted>
  <dcterms:modified xsi:type="dcterms:W3CDTF">2021-04-23T01:08:27Z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