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BCF" w:rsidRDefault="003A6E87">
      <w:pPr>
        <w:ind w:right="300"/>
        <w:jc w:val="left"/>
        <w:rPr>
          <w:rFonts w:ascii="Times New Roman" w:eastAsia="黑体" w:hAnsi="Times New Roman" w:cs="Times New Roman"/>
          <w:sz w:val="30"/>
          <w:szCs w:val="30"/>
        </w:rPr>
      </w:pPr>
      <w:r>
        <w:rPr>
          <w:rFonts w:ascii="Times New Roman" w:eastAsia="黑体" w:hAnsi="Times New Roman" w:cs="Times New Roman"/>
          <w:sz w:val="48"/>
          <w:szCs w:val="48"/>
        </w:rPr>
        <w:t>编号：</w:t>
      </w:r>
      <w:r>
        <w:rPr>
          <w:rFonts w:ascii="Times New Roman" w:eastAsia="黑体" w:hAnsi="Times New Roman" w:cs="Times New Roman"/>
          <w:sz w:val="48"/>
          <w:szCs w:val="48"/>
        </w:rPr>
        <w:t>57007</w:t>
      </w:r>
      <w:r>
        <w:rPr>
          <w:rFonts w:ascii="Times New Roman" w:eastAsia="黑体" w:hAnsi="Times New Roman" w:cs="Times New Roman" w:hint="eastAsia"/>
          <w:sz w:val="48"/>
          <w:szCs w:val="48"/>
        </w:rPr>
        <w:t xml:space="preserve">               </w:t>
      </w:r>
      <w:r w:rsidR="00992BCF" w:rsidRPr="00992BCF">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7.05pt;height:69.5pt">
            <v:imagedata r:id="rId7" o:title=""/>
          </v:shape>
        </w:pict>
      </w:r>
    </w:p>
    <w:p w:rsidR="00992BCF" w:rsidRDefault="00992BCF">
      <w:pPr>
        <w:ind w:right="300"/>
        <w:jc w:val="center"/>
        <w:rPr>
          <w:rFonts w:ascii="Times New Roman" w:eastAsia="黑体" w:hAnsi="Times New Roman" w:cs="Times New Roman"/>
          <w:sz w:val="30"/>
          <w:szCs w:val="30"/>
        </w:rPr>
      </w:pPr>
    </w:p>
    <w:p w:rsidR="00992BCF" w:rsidRDefault="00992BCF">
      <w:pPr>
        <w:ind w:right="300"/>
        <w:jc w:val="center"/>
        <w:rPr>
          <w:rFonts w:ascii="Times New Roman" w:eastAsia="黑体" w:hAnsi="Times New Roman" w:cs="Times New Roman"/>
          <w:sz w:val="52"/>
          <w:szCs w:val="52"/>
        </w:rPr>
      </w:pPr>
    </w:p>
    <w:p w:rsidR="00992BCF" w:rsidRDefault="003A6E8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p>
    <w:p w:rsidR="00992BCF" w:rsidRDefault="003A6E87">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992BCF">
      <w:pPr>
        <w:ind w:right="300"/>
        <w:jc w:val="center"/>
        <w:rPr>
          <w:rFonts w:ascii="Times New Roman" w:eastAsia="仿宋_GB2312" w:hAnsi="Times New Roman" w:cs="Times New Roman"/>
          <w:sz w:val="30"/>
          <w:szCs w:val="30"/>
        </w:rPr>
      </w:pPr>
    </w:p>
    <w:p w:rsidR="00992BCF" w:rsidRDefault="003A6E87">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吉林省分局</w:t>
      </w:r>
    </w:p>
    <w:p w:rsidR="00992BCF" w:rsidRDefault="00992BCF">
      <w:pPr>
        <w:ind w:right="300"/>
        <w:rPr>
          <w:rFonts w:ascii="Times New Roman" w:eastAsia="仿宋_GB2312" w:hAnsi="Times New Roman" w:cs="Times New Roman"/>
          <w:sz w:val="30"/>
          <w:szCs w:val="30"/>
        </w:rPr>
      </w:pPr>
    </w:p>
    <w:p w:rsidR="00992BCF" w:rsidRDefault="00992BCF">
      <w:pPr>
        <w:widowControl/>
        <w:jc w:val="left"/>
        <w:rPr>
          <w:rFonts w:ascii="Times New Roman" w:eastAsia="仿宋_GB2312" w:hAnsi="Times New Roman" w:cs="Times New Roman"/>
          <w:sz w:val="30"/>
          <w:szCs w:val="30"/>
        </w:rPr>
        <w:sectPr w:rsidR="00992BCF">
          <w:footerReference w:type="default" r:id="rId8"/>
          <w:pgSz w:w="11906" w:h="16838"/>
          <w:pgMar w:top="1440" w:right="1800" w:bottom="1440" w:left="1800" w:header="851" w:footer="992" w:gutter="0"/>
          <w:cols w:space="720"/>
          <w:titlePg/>
          <w:docGrid w:type="lines" w:linePitch="312"/>
        </w:sectPr>
      </w:pP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992BCF" w:rsidRDefault="003A6E8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992BCF" w:rsidRDefault="003A6E8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992BCF" w:rsidRDefault="003A6E8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992BCF" w:rsidRDefault="003A6E8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992BCF" w:rsidRDefault="003A6E8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992BCF" w:rsidRDefault="003A6E8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992BCF" w:rsidRDefault="003A6E87">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992BCF" w:rsidRDefault="003A6E8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w:t>
      </w:r>
      <w:r>
        <w:rPr>
          <w:rFonts w:ascii="Times New Roman" w:eastAsia="仿宋_GB2312" w:hAnsi="Times New Roman" w:cs="Times New Roman"/>
          <w:sz w:val="30"/>
          <w:szCs w:val="30"/>
        </w:rPr>
        <w:t>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992BCF" w:rsidRDefault="003A6E87">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四、融资租赁对外债权登记</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（一）办理依据</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992BCF" w:rsidRDefault="003A6E8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《国家外汇管理局关于进一步改进和调整资本项目外汇管理政策的通知》（汇发</w:t>
      </w:r>
      <w:r>
        <w:rPr>
          <w:rFonts w:ascii="Times New Roman" w:eastAsia="仿宋_GB2312" w:hAnsi="Times New Roman" w:cs="Times New Roman"/>
          <w:sz w:val="30"/>
          <w:szCs w:val="30"/>
        </w:rPr>
        <w:t>[2014]2</w:t>
      </w:r>
      <w:r>
        <w:rPr>
          <w:rFonts w:ascii="Times New Roman" w:eastAsia="仿宋_GB2312" w:hAnsi="Times New Roman" w:cs="Times New Roman"/>
          <w:sz w:val="30"/>
          <w:szCs w:val="30"/>
        </w:rPr>
        <w:t>号）。</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黑体" w:hAnsi="Times New Roman" w:cs="Times New Roman" w:hint="eastAsia"/>
          <w:sz w:val="30"/>
          <w:szCs w:val="30"/>
        </w:rPr>
        <w:t xml:space="preserve"> </w:t>
      </w:r>
      <w:r>
        <w:rPr>
          <w:rFonts w:ascii="Times New Roman" w:eastAsia="黑体" w:hAnsi="Times New Roman" w:cs="Times New Roman"/>
          <w:sz w:val="30"/>
          <w:szCs w:val="30"/>
        </w:rPr>
        <w:t>（二）受理机构</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 xml:space="preserve">    </w:t>
      </w:r>
      <w:r>
        <w:rPr>
          <w:rFonts w:ascii="Times New Roman" w:eastAsia="仿宋_GB2312" w:hAnsi="Times New Roman" w:cs="Times New Roman"/>
          <w:sz w:val="30"/>
          <w:szCs w:val="30"/>
        </w:rPr>
        <w:t>申请人所在地外汇局。</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（四）审批数量</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无数量限制。</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融资租赁类公司包括银行业监管部门批准设</w:t>
      </w:r>
      <w:r>
        <w:rPr>
          <w:rFonts w:ascii="Times New Roman" w:eastAsia="仿宋_GB2312" w:hAnsi="Times New Roman" w:cs="Times New Roman"/>
          <w:sz w:val="30"/>
          <w:szCs w:val="30"/>
        </w:rPr>
        <w:t>立的金融租赁公司、商务主管部门审批设立的外商投资租赁公司，以及商务部和国家税务总局联合确认的内资融资租赁公司等三类主体。</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sz w:val="30"/>
          <w:szCs w:val="30"/>
        </w:rPr>
        <w:t>融资租赁类公司或其项目公司开展对外融资租赁业务时，应在融资租赁对外债权发生后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个工作日内，到所在地外汇局办理融资租赁对外债权登记。</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3.</w:t>
      </w:r>
      <w:r>
        <w:rPr>
          <w:rFonts w:ascii="Times New Roman" w:eastAsia="仿宋_GB2312" w:hAnsi="Times New Roman" w:cs="Times New Roman"/>
          <w:sz w:val="30"/>
          <w:szCs w:val="30"/>
        </w:rPr>
        <w:t>禁止性要求：如符合上述条件，不存在不予许可的情况。</w:t>
      </w:r>
    </w:p>
    <w:p w:rsidR="00992BCF" w:rsidRDefault="003A6E87">
      <w:pPr>
        <w:ind w:firstLine="600"/>
        <w:rPr>
          <w:rFonts w:ascii="Times New Roman" w:eastAsia="仿宋_GB2312" w:hAnsi="Times New Roman" w:cs="Times New Roman"/>
          <w:sz w:val="30"/>
          <w:szCs w:val="30"/>
        </w:rPr>
      </w:pPr>
      <w:r>
        <w:rPr>
          <w:rFonts w:ascii="Times New Roman" w:eastAsia="黑体" w:hAnsi="Times New Roman" w:cs="Times New Roman"/>
          <w:sz w:val="30"/>
          <w:szCs w:val="30"/>
        </w:rPr>
        <w:t>（六）申请材料</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544"/>
        <w:gridCol w:w="1417"/>
        <w:gridCol w:w="425"/>
        <w:gridCol w:w="993"/>
        <w:gridCol w:w="425"/>
        <w:gridCol w:w="1277"/>
      </w:tblGrid>
      <w:tr w:rsidR="00992BCF">
        <w:tc>
          <w:tcPr>
            <w:tcW w:w="392" w:type="dxa"/>
            <w:vAlign w:val="center"/>
          </w:tcPr>
          <w:p w:rsidR="00992BCF" w:rsidRDefault="003A6E87">
            <w:pPr>
              <w:ind w:right="3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4" w:type="dxa"/>
            <w:vAlign w:val="center"/>
          </w:tcPr>
          <w:p w:rsidR="00992BCF" w:rsidRDefault="003A6E87">
            <w:pPr>
              <w:ind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992BCF" w:rsidRDefault="003A6E87">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992BCF" w:rsidRDefault="003A6E87">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992BCF" w:rsidRDefault="003A6E87">
            <w:pPr>
              <w:ind w:leftChars="-49" w:left="-103"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992BCF" w:rsidRDefault="003A6E87">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992BCF" w:rsidRDefault="003A6E87">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992BCF" w:rsidRDefault="003A6E87">
            <w:pPr>
              <w:ind w:leftChars="-48" w:left="-101" w:right="-10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7" w:type="dxa"/>
            <w:vAlign w:val="center"/>
          </w:tcPr>
          <w:p w:rsidR="00992BCF" w:rsidRDefault="003A6E87">
            <w:pPr>
              <w:ind w:leftChars="-51" w:left="-107"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992BCF">
        <w:tc>
          <w:tcPr>
            <w:tcW w:w="392" w:type="dxa"/>
            <w:vAlign w:val="center"/>
          </w:tcPr>
          <w:p w:rsidR="00992BCF" w:rsidRDefault="003A6E87">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4" w:type="dxa"/>
            <w:vAlign w:val="center"/>
          </w:tcPr>
          <w:p w:rsidR="00992BCF" w:rsidRDefault="003A6E87">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包括公司及租赁项目基本情况</w:t>
            </w:r>
            <w:r>
              <w:rPr>
                <w:rFonts w:ascii="Times New Roman" w:eastAsia="仿宋_GB2312" w:hAnsi="Times New Roman" w:cs="Times New Roman" w:hint="eastAsia"/>
                <w:sz w:val="24"/>
                <w:szCs w:val="24"/>
              </w:rPr>
              <w:t>）</w:t>
            </w:r>
          </w:p>
        </w:tc>
        <w:tc>
          <w:tcPr>
            <w:tcW w:w="1417" w:type="dxa"/>
            <w:vAlign w:val="center"/>
          </w:tcPr>
          <w:p w:rsidR="00992BCF" w:rsidRDefault="003A6E87">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992BCF" w:rsidRDefault="003A6E87" w:rsidP="000873EE">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992BCF" w:rsidRDefault="003A6E87">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992BCF" w:rsidRDefault="00992BCF">
            <w:pPr>
              <w:ind w:right="300"/>
              <w:jc w:val="left"/>
              <w:rPr>
                <w:rFonts w:ascii="Times New Roman" w:eastAsia="仿宋_GB2312" w:hAnsi="Times New Roman" w:cs="Times New Roman"/>
                <w:sz w:val="24"/>
                <w:szCs w:val="24"/>
              </w:rPr>
            </w:pPr>
          </w:p>
        </w:tc>
        <w:tc>
          <w:tcPr>
            <w:tcW w:w="1277" w:type="dxa"/>
            <w:vAlign w:val="center"/>
          </w:tcPr>
          <w:p w:rsidR="00992BCF" w:rsidRDefault="00992BCF">
            <w:pPr>
              <w:ind w:leftChars="-51" w:left="-107" w:right="-115"/>
              <w:jc w:val="left"/>
              <w:rPr>
                <w:rFonts w:ascii="Times New Roman" w:eastAsia="仿宋_GB2312" w:hAnsi="Times New Roman" w:cs="Times New Roman"/>
                <w:sz w:val="24"/>
                <w:szCs w:val="24"/>
              </w:rPr>
            </w:pPr>
          </w:p>
        </w:tc>
      </w:tr>
      <w:tr w:rsidR="00992BCF">
        <w:tc>
          <w:tcPr>
            <w:tcW w:w="392" w:type="dxa"/>
            <w:vAlign w:val="center"/>
          </w:tcPr>
          <w:p w:rsidR="00992BCF" w:rsidRDefault="003A6E87">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4" w:type="dxa"/>
            <w:vAlign w:val="center"/>
          </w:tcPr>
          <w:p w:rsidR="00992BCF" w:rsidRDefault="003A6E87">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最近一期财务报表</w:t>
            </w:r>
          </w:p>
        </w:tc>
        <w:tc>
          <w:tcPr>
            <w:tcW w:w="1417" w:type="dxa"/>
            <w:vAlign w:val="center"/>
          </w:tcPr>
          <w:p w:rsidR="00992BCF" w:rsidRDefault="003A6E87">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992BCF" w:rsidRDefault="003A6E87" w:rsidP="000873EE">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992BCF" w:rsidRDefault="003A6E87">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992BCF" w:rsidRDefault="00992BCF">
            <w:pPr>
              <w:ind w:right="300"/>
              <w:jc w:val="left"/>
              <w:rPr>
                <w:rFonts w:ascii="Times New Roman" w:eastAsia="仿宋_GB2312" w:hAnsi="Times New Roman" w:cs="Times New Roman"/>
                <w:sz w:val="24"/>
                <w:szCs w:val="24"/>
              </w:rPr>
            </w:pPr>
          </w:p>
        </w:tc>
        <w:tc>
          <w:tcPr>
            <w:tcW w:w="1277" w:type="dxa"/>
            <w:vAlign w:val="center"/>
          </w:tcPr>
          <w:p w:rsidR="00992BCF" w:rsidRDefault="003A6E87">
            <w:pPr>
              <w:ind w:left="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992BCF">
        <w:trPr>
          <w:trHeight w:val="1124"/>
        </w:trPr>
        <w:tc>
          <w:tcPr>
            <w:tcW w:w="392" w:type="dxa"/>
            <w:vAlign w:val="center"/>
          </w:tcPr>
          <w:p w:rsidR="00992BCF" w:rsidRDefault="003A6E87">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4" w:type="dxa"/>
            <w:vAlign w:val="center"/>
          </w:tcPr>
          <w:p w:rsidR="00992BCF" w:rsidRDefault="003A6E87">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租赁合同及租赁物转移的证明材料（如报关单、备案清单、发票等）</w:t>
            </w:r>
          </w:p>
        </w:tc>
        <w:tc>
          <w:tcPr>
            <w:tcW w:w="1417" w:type="dxa"/>
            <w:vAlign w:val="center"/>
          </w:tcPr>
          <w:p w:rsidR="00992BCF" w:rsidRDefault="003A6E87">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992BCF" w:rsidRDefault="003A6E87" w:rsidP="000873EE">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992BCF" w:rsidRDefault="003A6E87">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992BCF" w:rsidRDefault="00992BCF">
            <w:pPr>
              <w:ind w:right="300"/>
              <w:jc w:val="left"/>
              <w:rPr>
                <w:rFonts w:ascii="Times New Roman" w:eastAsia="仿宋_GB2312" w:hAnsi="Times New Roman" w:cs="Times New Roman"/>
                <w:sz w:val="24"/>
                <w:szCs w:val="24"/>
              </w:rPr>
            </w:pPr>
          </w:p>
        </w:tc>
        <w:tc>
          <w:tcPr>
            <w:tcW w:w="1277" w:type="dxa"/>
            <w:vAlign w:val="center"/>
          </w:tcPr>
          <w:p w:rsidR="00992BCF" w:rsidRDefault="003A6E87">
            <w:pPr>
              <w:ind w:left="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（七）申请接受</w:t>
      </w:r>
    </w:p>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（八）基本办理流程</w:t>
      </w:r>
    </w:p>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992BCF" w:rsidRDefault="003A6E87">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992BCF" w:rsidRDefault="003A6E87">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（九）办理方式</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（十）审批时限</w:t>
      </w:r>
    </w:p>
    <w:p w:rsidR="00992BCF" w:rsidRDefault="003A6E87">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（十一）审批收费依据及标准</w:t>
      </w:r>
    </w:p>
    <w:p w:rsidR="00992BCF" w:rsidRDefault="003A6E87">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992BCF" w:rsidRDefault="003A6E87">
      <w:pPr>
        <w:adjustRightInd w:val="0"/>
        <w:snapToGrid w:val="0"/>
        <w:spacing w:line="360" w:lineRule="auto"/>
        <w:ind w:firstLine="590"/>
        <w:rPr>
          <w:rFonts w:ascii="Times New Roman" w:eastAsia="黑体" w:hAnsi="Times New Roman" w:cs="Times New Roman"/>
          <w:sz w:val="30"/>
          <w:szCs w:val="30"/>
        </w:rPr>
      </w:pPr>
      <w:r>
        <w:rPr>
          <w:rFonts w:ascii="Times New Roman" w:eastAsia="黑体" w:hAnsi="黑体" w:cs="Times New Roman"/>
          <w:sz w:val="30"/>
          <w:szCs w:val="30"/>
        </w:rPr>
        <w:t>（十二）审批结果</w:t>
      </w:r>
    </w:p>
    <w:p w:rsidR="00992BCF" w:rsidRDefault="003A6E87">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（十三）结果送达</w:t>
      </w:r>
    </w:p>
    <w:p w:rsidR="00992BCF" w:rsidRDefault="003A6E87">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992BCF" w:rsidRDefault="003A6E87">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黑体" w:cs="Times New Roman"/>
          <w:sz w:val="30"/>
          <w:szCs w:val="30"/>
        </w:rPr>
        <w:t>（十四）申请人权利和义务</w:t>
      </w:r>
    </w:p>
    <w:p w:rsidR="00992BCF" w:rsidRDefault="003A6E87">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w:t>
      </w:r>
      <w:r>
        <w:rPr>
          <w:rFonts w:ascii="Times New Roman" w:eastAsia="仿宋_GB2312" w:hAnsi="Times New Roman" w:cs="Times New Roman"/>
          <w:sz w:val="30"/>
        </w:rPr>
        <w:lastRenderedPageBreak/>
        <w:t>复议、诉讼等。申请人有义务保证申请材料完整、真实、准确，获批后合法合规办理相关业务，重要信息发生变更按规定及时报备，全面、及时、准确报送相关数据信息等。</w:t>
      </w:r>
    </w:p>
    <w:p w:rsidR="00992BCF" w:rsidRDefault="003A6E87" w:rsidP="000873EE">
      <w:pPr>
        <w:ind w:firstLineChars="200" w:firstLine="600"/>
        <w:rPr>
          <w:rFonts w:ascii="仿宋_GB2312" w:eastAsia="仿宋_GB2312" w:hAnsi="仿宋" w:cs="仿宋"/>
          <w:b/>
          <w:sz w:val="30"/>
          <w:szCs w:val="30"/>
        </w:rPr>
      </w:pPr>
      <w:r>
        <w:rPr>
          <w:rFonts w:ascii="Times New Roman" w:eastAsia="黑体" w:hAnsi="Times New Roman" w:cs="Times New Roman"/>
          <w:sz w:val="30"/>
          <w:szCs w:val="30"/>
        </w:rPr>
        <w:t>（十五）咨询途径、监督和投诉</w:t>
      </w:r>
    </w:p>
    <w:p w:rsidR="00992BCF" w:rsidRDefault="003A6E87">
      <w:pPr>
        <w:ind w:firstLine="600"/>
        <w:rPr>
          <w:rFonts w:eastAsia="仿宋_GB2312"/>
          <w:sz w:val="30"/>
          <w:szCs w:val="30"/>
        </w:rPr>
      </w:pPr>
      <w:r>
        <w:rPr>
          <w:rFonts w:eastAsia="仿宋_GB2312"/>
          <w:sz w:val="30"/>
          <w:szCs w:val="30"/>
        </w:rPr>
        <w:t>向国家外汇管理局咨询、监督投诉等可通过国家外汇管理局官方互联网站公众交流栏目进行</w:t>
      </w:r>
      <w:r w:rsidR="000873EE">
        <w:rPr>
          <w:rFonts w:eastAsia="仿宋_GB2312" w:hint="eastAsia"/>
          <w:sz w:val="30"/>
          <w:szCs w:val="30"/>
        </w:rPr>
        <w:t>，</w:t>
      </w:r>
      <w:r>
        <w:rPr>
          <w:rFonts w:eastAsia="仿宋_GB2312"/>
          <w:sz w:val="30"/>
          <w:szCs w:val="30"/>
        </w:rPr>
        <w:t>网址为</w:t>
      </w:r>
      <w:hyperlink r:id="rId9">
        <w:r>
          <w:rPr>
            <w:rFonts w:eastAsia="仿宋_GB2312"/>
            <w:spacing w:val="-4"/>
            <w:sz w:val="30"/>
            <w:szCs w:val="30"/>
          </w:rPr>
          <w:t>www.safe.gov.cn</w:t>
        </w:r>
      </w:hyperlink>
      <w:r>
        <w:rPr>
          <w:rFonts w:eastAsia="仿宋_GB2312"/>
          <w:sz w:val="30"/>
          <w:szCs w:val="30"/>
        </w:rPr>
        <w:t>。</w:t>
      </w:r>
    </w:p>
    <w:p w:rsidR="00992BCF" w:rsidRDefault="003A6E87">
      <w:pPr>
        <w:ind w:firstLine="600"/>
        <w:rPr>
          <w:rFonts w:eastAsia="仿宋_GB2312"/>
          <w:sz w:val="30"/>
          <w:szCs w:val="30"/>
        </w:rPr>
      </w:pPr>
      <w:r>
        <w:rPr>
          <w:rFonts w:eastAsia="仿宋_GB2312"/>
          <w:sz w:val="30"/>
          <w:szCs w:val="30"/>
        </w:rPr>
        <w:t>向外汇局</w:t>
      </w:r>
      <w:r>
        <w:rPr>
          <w:rFonts w:eastAsia="仿宋_GB2312" w:hint="eastAsia"/>
          <w:sz w:val="30"/>
          <w:szCs w:val="30"/>
        </w:rPr>
        <w:t>吉林省分局及各市（州）中心支局</w:t>
      </w:r>
      <w:r>
        <w:rPr>
          <w:rFonts w:eastAsia="仿宋_GB2312"/>
          <w:sz w:val="30"/>
          <w:szCs w:val="30"/>
        </w:rPr>
        <w:t>进行咨询、监督和投诉等可通过</w:t>
      </w:r>
      <w:r>
        <w:rPr>
          <w:rFonts w:eastAsia="仿宋_GB2312" w:hint="eastAsia"/>
          <w:sz w:val="30"/>
          <w:szCs w:val="30"/>
        </w:rPr>
        <w:t>国家外汇管理局吉林省分局官方互联网站“咨询反馈”栏目进行</w:t>
      </w:r>
      <w:r w:rsidR="000873EE">
        <w:rPr>
          <w:rFonts w:eastAsia="仿宋_GB2312" w:hint="eastAsia"/>
          <w:sz w:val="30"/>
          <w:szCs w:val="30"/>
        </w:rPr>
        <w:t>，</w:t>
      </w:r>
      <w:r>
        <w:rPr>
          <w:rFonts w:eastAsia="仿宋_GB2312" w:hint="eastAsia"/>
          <w:sz w:val="30"/>
          <w:szCs w:val="30"/>
        </w:rPr>
        <w:t>网址为</w:t>
      </w:r>
      <w:hyperlink r:id="rId10" w:history="1">
        <w:r>
          <w:rPr>
            <w:rStyle w:val="aa"/>
            <w:rFonts w:eastAsia="仿宋_GB2312"/>
            <w:color w:val="auto"/>
            <w:sz w:val="30"/>
            <w:szCs w:val="30"/>
          </w:rPr>
          <w:t>www.safe.gov.cn/jilin</w:t>
        </w:r>
      </w:hyperlink>
      <w:r>
        <w:rPr>
          <w:rFonts w:eastAsia="仿宋_GB2312" w:hint="eastAsia"/>
          <w:sz w:val="30"/>
          <w:szCs w:val="30"/>
        </w:rPr>
        <w:t>，也可通过国家外汇管理局吉林省分局官方互联网站“咨询反馈——联系我们”栏目中</w:t>
      </w:r>
      <w:r>
        <w:rPr>
          <w:rFonts w:eastAsia="仿宋_GB2312"/>
          <w:sz w:val="30"/>
          <w:szCs w:val="30"/>
        </w:rPr>
        <w:t>公布的电话进行。</w:t>
      </w:r>
    </w:p>
    <w:p w:rsidR="00992BCF" w:rsidRDefault="003A6E87">
      <w:pPr>
        <w:ind w:firstLine="600"/>
        <w:rPr>
          <w:rFonts w:eastAsia="仿宋_GB2312"/>
          <w:b/>
          <w:sz w:val="30"/>
          <w:szCs w:val="30"/>
        </w:rPr>
      </w:pPr>
      <w:r>
        <w:rPr>
          <w:rFonts w:ascii="Times New Roman" w:eastAsia="黑体" w:hAnsi="Times New Roman" w:cs="Times New Roman"/>
          <w:sz w:val="30"/>
          <w:szCs w:val="30"/>
        </w:rPr>
        <w:t>（十</w:t>
      </w:r>
      <w:r>
        <w:rPr>
          <w:rFonts w:ascii="Times New Roman" w:eastAsia="黑体" w:hAnsi="Times New Roman" w:cs="Times New Roman" w:hint="eastAsia"/>
          <w:sz w:val="30"/>
          <w:szCs w:val="30"/>
        </w:rPr>
        <w:t>六</w:t>
      </w:r>
      <w:r>
        <w:rPr>
          <w:rFonts w:ascii="Times New Roman" w:eastAsia="黑体" w:hAnsi="Times New Roman" w:cs="Times New Roman"/>
          <w:sz w:val="30"/>
          <w:szCs w:val="30"/>
        </w:rPr>
        <w:t>）办公地址和时间</w:t>
      </w:r>
    </w:p>
    <w:p w:rsidR="00992BCF" w:rsidRDefault="003A6E87">
      <w:pPr>
        <w:ind w:firstLineChars="200" w:firstLine="600"/>
        <w:rPr>
          <w:rFonts w:eastAsia="仿宋_GB2312"/>
          <w:sz w:val="30"/>
          <w:szCs w:val="30"/>
        </w:rPr>
      </w:pPr>
      <w:r>
        <w:rPr>
          <w:rFonts w:eastAsia="仿宋_GB2312"/>
          <w:sz w:val="30"/>
          <w:szCs w:val="30"/>
        </w:rPr>
        <w:t>该项行政许可</w:t>
      </w:r>
      <w:r>
        <w:rPr>
          <w:rFonts w:eastAsia="仿宋_GB2312"/>
          <w:sz w:val="30"/>
          <w:szCs w:val="30"/>
        </w:rPr>
        <w:t>具体由国家外汇管理局分支局办理，</w:t>
      </w:r>
      <w:r>
        <w:rPr>
          <w:rFonts w:eastAsia="仿宋_GB2312" w:hint="eastAsia"/>
          <w:sz w:val="30"/>
          <w:szCs w:val="30"/>
        </w:rPr>
        <w:t>国家外汇管理局吉林省各市（州）中心支局的</w:t>
      </w:r>
      <w:r>
        <w:rPr>
          <w:rFonts w:eastAsia="仿宋_GB2312"/>
          <w:sz w:val="30"/>
          <w:szCs w:val="30"/>
        </w:rPr>
        <w:t>办公地址和办公时间见</w:t>
      </w:r>
      <w:r>
        <w:rPr>
          <w:rFonts w:eastAsia="仿宋_GB2312" w:hint="eastAsia"/>
          <w:sz w:val="30"/>
          <w:szCs w:val="30"/>
        </w:rPr>
        <w:t>国家外汇管理局吉林省分局官方互联网站“咨询反馈——联系我们”栏目。</w:t>
      </w:r>
    </w:p>
    <w:p w:rsidR="00992BCF" w:rsidRDefault="00992BCF">
      <w:pPr>
        <w:ind w:right="300"/>
        <w:rPr>
          <w:rFonts w:ascii="Times New Roman" w:eastAsia="仿宋_GB2312" w:hAnsi="Times New Roman" w:cs="Times New Roman"/>
          <w:sz w:val="30"/>
          <w:szCs w:val="30"/>
        </w:rPr>
      </w:pPr>
    </w:p>
    <w:p w:rsidR="00992BCF" w:rsidRDefault="003A6E8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附录一</w:t>
      </w:r>
    </w:p>
    <w:p w:rsidR="00992BCF" w:rsidRDefault="003A6E87">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992BCF" w:rsidRDefault="00992BCF">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061" o:spid="_x0000_s1027" style="position:absolute;left:0;text-align:left;margin-left:-11.65pt;margin-top:15.1pt;width:446.05pt;height:586.05pt;z-index:1" coordsize="8921,11721">
            <v:rect id="Rectangle 1116" o:spid="_x0000_s1028" style="position:absolute;left:2908;top:8319;width:2985;height:534" o:preferrelative="t">
              <v:stroke miterlimit="2"/>
              <v:textbox>
                <w:txbxContent>
                  <w:p w:rsidR="00992BCF" w:rsidRDefault="003A6E87">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17" o:spid="_x0000_s1029" type="#_x0000_t116" style="position:absolute;left:4420;top:10681;width:3675;height:1037" o:preferrelative="t">
              <v:stroke miterlimit="2"/>
              <v:textbox>
                <w:txbxContent>
                  <w:p w:rsidR="00992BCF" w:rsidRDefault="003A6E87">
                    <w:pPr>
                      <w:jc w:val="center"/>
                    </w:pPr>
                    <w:r>
                      <w:rPr>
                        <w:rFonts w:hint="eastAsia"/>
                      </w:rPr>
                      <w:t>依法作出不予许可决定，</w:t>
                    </w:r>
                  </w:p>
                  <w:p w:rsidR="00992BCF" w:rsidRDefault="003A6E87">
                    <w:pPr>
                      <w:jc w:val="center"/>
                    </w:pPr>
                    <w:r>
                      <w:rPr>
                        <w:rFonts w:hint="eastAsia"/>
                      </w:rPr>
                      <w:t>并送达</w:t>
                    </w:r>
                  </w:p>
                </w:txbxContent>
              </v:textbox>
            </v:shape>
            <v:shape id="AutoShape 1118" o:spid="_x0000_s1030" type="#_x0000_t116" style="position:absolute;left:695;top:10663;width:3461;height:1058" o:preferrelative="t">
              <v:stroke miterlimit="2"/>
              <v:textbox>
                <w:txbxContent>
                  <w:p w:rsidR="00992BCF" w:rsidRDefault="003A6E87">
                    <w:pPr>
                      <w:jc w:val="center"/>
                    </w:pPr>
                    <w:r>
                      <w:rPr>
                        <w:rFonts w:hint="eastAsia"/>
                      </w:rPr>
                      <w:t>依法予以许可，出具相关</w:t>
                    </w:r>
                  </w:p>
                  <w:p w:rsidR="00992BCF" w:rsidRDefault="003A6E87">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19" o:spid="_x0000_s1031" type="#_x0000_t32" style="position:absolute;left:4382;top:7693;width:1;height:626" o:preferrelative="t">
              <v:stroke endarrow="block" miterlimit="2"/>
            </v:shape>
            <v:shape id="AutoShape 1120" o:spid="_x0000_s1032" type="#_x0000_t32" style="position:absolute;left:6331;top:9568;width:17;height:1095" o:preferrelative="t">
              <v:stroke endarrow="block" miterlimit="2"/>
            </v:shape>
            <v:shape id="AutoShape 1121" o:spid="_x0000_s1033" type="#_x0000_t32" style="position:absolute;left:2358;top:9568;width:1;height:1035" o:preferrelative="t">
              <v:stroke endarrow="block" miterlimit="2"/>
            </v:shape>
            <v:shape id="AutoShape 1122" o:spid="_x0000_s1034" type="#_x0000_t32" style="position:absolute;left:4383;top:8853;width:1;height:715" o:preferrelative="t">
              <v:stroke miterlimit="2"/>
            </v:shape>
            <v:shape id="AutoShape 1123" o:spid="_x0000_s1035" type="#_x0000_t32" style="position:absolute;left:2359;top:9568;width:3972;height:0" o:preferrelative="t">
              <v:stroke miterlimit="2"/>
            </v:shape>
            <v:group id="组合 1070" o:spid="_x0000_s1036" style="position:absolute;width:8921;height:7693" coordsize="8921,7693">
              <v:shape id="AutoShape 1125" o:spid="_x0000_s1037" type="#_x0000_t32" style="position:absolute;left:5893;top:6566;width:0;height:608" o:preferrelative="t">
                <v:stroke endarrow="block" miterlimit="2"/>
              </v:shape>
              <v:group id="组合 1072"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7" o:spid="_x0000_s1039" type="#_x0000_t34" style="position:absolute;left:6366;top:3154;width:3823;height:1285;rotation:270" o:preferrelative="t" adj="33">
                  <v:stroke miterlimit="2"/>
                </v:shape>
                <v:shapetype id="_x0000_t202" coordsize="21600,21600" o:spt="202" path="m,l,21600r21600,l21600,xe">
                  <v:stroke joinstyle="miter"/>
                  <v:path gradientshapeok="t" o:connecttype="rect"/>
                </v:shapetype>
                <v:shape id="Text Box 1128" o:spid="_x0000_s1040" type="#_x0000_t202" style="position:absolute;left:7996;top:2297;width:754;height:2553" o:preferrelative="t" strokecolor="white">
                  <v:stroke miterlimit="2"/>
                  <v:textbox>
                    <w:txbxContent>
                      <w:p w:rsidR="00992BCF" w:rsidRDefault="003A6E87">
                        <w:pPr>
                          <w:jc w:val="center"/>
                        </w:pPr>
                        <w:r>
                          <w:rPr>
                            <w:rFonts w:hint="eastAsia"/>
                          </w:rPr>
                          <w:t>不能提供符合受理要求的</w:t>
                        </w:r>
                      </w:p>
                      <w:p w:rsidR="00992BCF" w:rsidRDefault="003A6E87">
                        <w:pPr>
                          <w:jc w:val="center"/>
                        </w:pPr>
                        <w:r>
                          <w:rPr>
                            <w:rFonts w:hint="eastAsia"/>
                          </w:rPr>
                          <w:t>材料</w:t>
                        </w:r>
                      </w:p>
                    </w:txbxContent>
                  </v:textbox>
                </v:shape>
                <v:shape id="AutoShape 1129" o:spid="_x0000_s1041" type="#_x0000_t32" style="position:absolute;left:5893;top:4472;width:0;height:378" o:preferrelative="t">
                  <v:stroke endarrow="block" miterlimit="2"/>
                </v:shape>
                <v:shape id="Text Box 1130" o:spid="_x0000_s1042" type="#_x0000_t202" style="position:absolute;left:2568;top:6566;width:2737;height:477" o:preferrelative="t" strokecolor="white">
                  <v:stroke miterlimit="2"/>
                  <v:textbox>
                    <w:txbxContent>
                      <w:p w:rsidR="00992BCF" w:rsidRDefault="003A6E87">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31" o:spid="_x0000_s1043" type="#_x0000_t4" style="position:absolute;left:4156;top:4833;width:3480;height:1733" o:preferrelative="t">
                  <v:stroke miterlimit="2"/>
                  <v:textbox>
                    <w:txbxContent>
                      <w:p w:rsidR="00992BCF" w:rsidRDefault="00992BCF">
                        <w:pPr>
                          <w:jc w:val="center"/>
                        </w:pPr>
                      </w:p>
                      <w:p w:rsidR="00992BCF" w:rsidRDefault="003A6E87">
                        <w:pPr>
                          <w:jc w:val="center"/>
                        </w:pPr>
                        <w:r>
                          <w:rPr>
                            <w:rFonts w:hint="eastAsia"/>
                          </w:rPr>
                          <w:t>申请人补充材料</w:t>
                        </w:r>
                      </w:p>
                    </w:txbxContent>
                  </v:textbox>
                </v:shape>
                <v:rect id="Rectangle 1132" o:spid="_x0000_s1044" style="position:absolute;left:2568;top:7174;width:4816;height:519" o:preferrelative="t">
                  <v:stroke miterlimit="2"/>
                  <v:textbox>
                    <w:txbxContent>
                      <w:p w:rsidR="00992BCF" w:rsidRDefault="003A6E87">
                        <w:pPr>
                          <w:jc w:val="center"/>
                        </w:pPr>
                        <w:r>
                          <w:rPr>
                            <w:rFonts w:hint="eastAsia"/>
                          </w:rPr>
                          <w:t>依法应予受理，出具行政审批受理单</w:t>
                        </w:r>
                      </w:p>
                      <w:p w:rsidR="00992BCF" w:rsidRDefault="00992BCF">
                        <w:pPr>
                          <w:jc w:val="center"/>
                        </w:pPr>
                      </w:p>
                    </w:txbxContent>
                  </v:textbox>
                </v:rect>
                <v:rect id="Rectangle 1133" o:spid="_x0000_s1045" style="position:absolute;left:4566;top:3341;width:3190;height:1114" o:preferrelative="t">
                  <v:stroke miterlimit="2"/>
                  <v:textbox>
                    <w:txbxContent>
                      <w:p w:rsidR="00992BCF" w:rsidRDefault="003A6E87">
                        <w:pPr>
                          <w:jc w:val="center"/>
                        </w:pPr>
                        <w:r>
                          <w:rPr>
                            <w:rFonts w:hint="eastAsia"/>
                          </w:rPr>
                          <w:t>材料不全或不符合法定形式的，</w:t>
                        </w:r>
                      </w:p>
                      <w:p w:rsidR="00992BCF" w:rsidRDefault="003A6E87">
                        <w:pPr>
                          <w:jc w:val="center"/>
                        </w:pPr>
                        <w:r>
                          <w:rPr>
                            <w:rFonts w:hint="eastAsia"/>
                          </w:rPr>
                          <w:t>一次性告知补正材料，</w:t>
                        </w:r>
                      </w:p>
                      <w:p w:rsidR="00992BCF" w:rsidRDefault="003A6E87">
                        <w:pPr>
                          <w:jc w:val="center"/>
                        </w:pPr>
                        <w:r>
                          <w:rPr>
                            <w:rFonts w:hint="eastAsia"/>
                          </w:rPr>
                          <w:t>出具行政审批补正材料通知书</w:t>
                        </w:r>
                      </w:p>
                      <w:p w:rsidR="00992BCF" w:rsidRDefault="00992BCF"/>
                    </w:txbxContent>
                  </v:textbox>
                </v:rect>
                <v:shape id="AutoShape 1134" o:spid="_x0000_s1046" type="#_x0000_t116" style="position:absolute;left:4566;top:1337;width:2818;height:1423" o:preferrelative="t">
                  <v:stroke miterlimit="2"/>
                  <v:textbox>
                    <w:txbxContent>
                      <w:p w:rsidR="00992BCF" w:rsidRDefault="003A6E87">
                        <w:pPr>
                          <w:jc w:val="center"/>
                        </w:pPr>
                        <w:r>
                          <w:rPr>
                            <w:rFonts w:hint="eastAsia"/>
                          </w:rPr>
                          <w:t>依法不予受理的，作出不予受理决定，出具不予受理行政审批申请通知书</w:t>
                        </w:r>
                      </w:p>
                      <w:p w:rsidR="00992BCF" w:rsidRDefault="00992BCF">
                        <w:pPr>
                          <w:jc w:val="center"/>
                        </w:pPr>
                      </w:p>
                    </w:txbxContent>
                  </v:textbox>
                </v:shape>
                <v:group id="组合 1081" o:spid="_x0000_s1047" style="position:absolute;width:4594;height:7424" coordsize="4594,7424">
                  <v:shape id="AutoShape 1136" o:spid="_x0000_s1048" type="#_x0000_t32" style="position:absolute;left:3663;top:3910;width:931;height:0" o:preferrelative="t">
                    <v:stroke endarrow="block" miterlimit="2"/>
                  </v:shape>
                  <v:shape id="AutoShape 1137" o:spid="_x0000_s1049" type="#_x0000_t32" style="position:absolute;left:1355;top:3986;width:1;height:3437" o:preferrelative="t">
                    <v:stroke miterlimit="2"/>
                  </v:shape>
                  <v:group id="组合 1084" o:spid="_x0000_s1050" style="position:absolute;width:3629;height:3986" coordsize="3629,3986">
                    <v:shape id="AutoShape 1139" o:spid="_x0000_s1051" type="#_x0000_t32" style="position:absolute;left:1396;top:1172;width:1;height:764" o:preferrelative="t">
                      <v:stroke endarrow="block" miterlimit="2"/>
                    </v:shape>
                    <v:shape id="AutoShape 1140" o:spid="_x0000_s1052" type="#_x0000_t32" style="position:absolute;left:2400;top:2967;width:1229;height:0" o:preferrelative="t">
                      <v:stroke miterlimit="2"/>
                    </v:shape>
                    <v:shape id="AutoShape 1141" o:spid="_x0000_s1053" type="#_x0000_t4" style="position:absolute;top:1936;width:2773;height:2050" o:preferrelative="t">
                      <v:stroke miterlimit="2"/>
                      <v:textbox>
                        <w:txbxContent>
                          <w:p w:rsidR="00992BCF" w:rsidRDefault="003A6E87">
                            <w:r>
                              <w:rPr>
                                <w:rFonts w:hint="eastAsia"/>
                              </w:rPr>
                              <w:t>接件（</w:t>
                            </w:r>
                            <w:r>
                              <w:t>5</w:t>
                            </w:r>
                            <w:r>
                              <w:rPr>
                                <w:rFonts w:hint="eastAsia"/>
                              </w:rPr>
                              <w:t>个工作日）作出是否受理决定</w:t>
                            </w:r>
                          </w:p>
                          <w:p w:rsidR="00992BCF" w:rsidRDefault="00992BCF"/>
                        </w:txbxContent>
                      </v:textbox>
                    </v:shape>
                    <v:shape id="AutoShape 1142" o:spid="_x0000_s1054" type="#_x0000_t116" style="position:absolute;left:184;width:2724;height:1172" o:preferrelative="t">
                      <v:stroke miterlimit="2"/>
                      <v:textbox>
                        <w:txbxContent>
                          <w:p w:rsidR="00992BCF" w:rsidRDefault="003A6E87">
                            <w:pPr>
                              <w:jc w:val="center"/>
                            </w:pPr>
                            <w:r>
                              <w:rPr>
                                <w:rFonts w:hint="eastAsia"/>
                              </w:rPr>
                              <w:t>申请人提出书面申请，并提交材料</w:t>
                            </w:r>
                          </w:p>
                        </w:txbxContent>
                      </v:textbox>
                    </v:shape>
                  </v:group>
                  <v:shape id="AutoShape 1143" o:spid="_x0000_s1055" type="#_x0000_t32" style="position:absolute;left:1355;top:7423;width:1213;height:1" o:preferrelative="t">
                    <v:stroke endarrow="block" miterlimit="2"/>
                  </v:shape>
                  <v:shape id="AutoShape 1144" o:spid="_x0000_s1056" type="#_x0000_t32" style="position:absolute;left:3663;top:1999;width:0;height:1921" o:preferrelative="t">
                    <v:stroke miterlimit="2"/>
                  </v:shape>
                  <v:shape id="AutoShape 1145" o:spid="_x0000_s1057" type="#_x0000_t32" style="position:absolute;left:3663;top:1989;width:903;height:1" o:preferrelative="t">
                    <v:stroke endarrow="block" miterlimit="2"/>
                  </v:shape>
                  <v:shape id="Text Box 1146" o:spid="_x0000_s1058" type="#_x0000_t202" style="position:absolute;left:597;top:5280;width:508;height:1152" o:preferrelative="t" strokecolor="white">
                    <v:stroke miterlimit="2"/>
                    <v:textbox>
                      <w:txbxContent>
                        <w:p w:rsidR="00992BCF" w:rsidRDefault="003A6E87">
                          <w:r>
                            <w:rPr>
                              <w:rFonts w:hint="eastAsia"/>
                            </w:rPr>
                            <w:t>是</w:t>
                          </w:r>
                        </w:p>
                      </w:txbxContent>
                    </v:textbox>
                  </v:shape>
                  <v:shape id="Text Box 1147" o:spid="_x0000_s1059" type="#_x0000_t202" style="position:absolute;left:2799;top:2220;width:508;height:471" o:preferrelative="t" strokecolor="white">
                    <v:stroke miterlimit="2"/>
                    <v:textbox style="mso-fit-shape-to-text:t">
                      <w:txbxContent>
                        <w:p w:rsidR="00992BCF" w:rsidRDefault="003A6E87">
                          <w:r>
                            <w:rPr>
                              <w:rFonts w:hint="eastAsia"/>
                            </w:rPr>
                            <w:t>否</w:t>
                          </w:r>
                        </w:p>
                      </w:txbxContent>
                    </v:textbox>
                  </v:shape>
                </v:group>
                <v:shape id="AutoShape 1148" o:spid="_x0000_s1060" type="#_x0000_t32" style="position:absolute;left:7384;top:1886;width:1537;height:0;flip:x" o:preferrelative="t">
                  <v:stroke endarrow="block" miterlimit="2"/>
                </v:shape>
              </v:group>
            </v:group>
          </v:group>
        </w:pict>
      </w:r>
    </w:p>
    <w:p w:rsidR="00992BCF" w:rsidRDefault="00992BCF">
      <w:pPr>
        <w:ind w:right="300"/>
        <w:rPr>
          <w:rFonts w:ascii="Times New Roman" w:eastAsia="仿宋_GB2312" w:hAnsi="Times New Roman" w:cs="Times New Roman"/>
          <w:sz w:val="30"/>
          <w:szCs w:val="30"/>
        </w:rPr>
      </w:pPr>
    </w:p>
    <w:p w:rsidR="00992BCF" w:rsidRDefault="00992BCF">
      <w:pPr>
        <w:ind w:right="300"/>
        <w:rPr>
          <w:rFonts w:ascii="Times New Roman" w:eastAsia="仿宋_GB2312" w:hAnsi="Times New Roman" w:cs="Times New Roman"/>
          <w:sz w:val="30"/>
          <w:szCs w:val="30"/>
        </w:rPr>
      </w:pPr>
    </w:p>
    <w:p w:rsidR="00992BCF" w:rsidRDefault="00992BCF">
      <w:pPr>
        <w:ind w:right="300"/>
        <w:rPr>
          <w:rFonts w:ascii="Times New Roman" w:eastAsia="仿宋_GB2312" w:hAnsi="Times New Roman" w:cs="Times New Roman"/>
          <w:sz w:val="30"/>
          <w:szCs w:val="30"/>
        </w:rPr>
      </w:pPr>
    </w:p>
    <w:p w:rsidR="00992BCF" w:rsidRDefault="00992BCF">
      <w:pPr>
        <w:ind w:right="300"/>
        <w:rPr>
          <w:rFonts w:ascii="Times New Roman" w:eastAsia="仿宋_GB2312" w:hAnsi="Times New Roman" w:cs="Times New Roman"/>
          <w:sz w:val="30"/>
          <w:szCs w:val="30"/>
        </w:rPr>
      </w:pPr>
    </w:p>
    <w:p w:rsidR="00992BCF" w:rsidRDefault="003A6E8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992BCF" w:rsidRDefault="003A6E87">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sz w:val="30"/>
          <w:szCs w:val="30"/>
        </w:rPr>
        <w:lastRenderedPageBreak/>
        <w:t>附录二</w:t>
      </w:r>
    </w:p>
    <w:p w:rsidR="00992BCF" w:rsidRDefault="00992BCF">
      <w:pPr>
        <w:adjustRightInd w:val="0"/>
        <w:snapToGrid w:val="0"/>
        <w:spacing w:line="360" w:lineRule="auto"/>
        <w:jc w:val="center"/>
        <w:rPr>
          <w:rFonts w:ascii="Times New Roman" w:eastAsia="黑体" w:hAnsi="Times New Roman" w:cs="Times New Roman"/>
          <w:sz w:val="30"/>
          <w:szCs w:val="30"/>
        </w:rPr>
      </w:pPr>
    </w:p>
    <w:p w:rsidR="00992BCF" w:rsidRDefault="003A6E87">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992BCF" w:rsidRDefault="00992BCF">
      <w:pPr>
        <w:adjustRightInd w:val="0"/>
        <w:snapToGrid w:val="0"/>
        <w:spacing w:line="360" w:lineRule="auto"/>
        <w:jc w:val="center"/>
        <w:rPr>
          <w:rFonts w:ascii="Times New Roman" w:eastAsia="黑体" w:hAnsi="Times New Roman" w:cs="Times New Roman"/>
          <w:sz w:val="30"/>
          <w:szCs w:val="30"/>
        </w:rPr>
      </w:pPr>
    </w:p>
    <w:p w:rsidR="00992BCF" w:rsidRDefault="003A6E87">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问：融资租赁类公司开展对外融资租赁业务时，是否有额度限制？</w:t>
      </w:r>
    </w:p>
    <w:p w:rsidR="00992BCF" w:rsidRDefault="003A6E87">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答：融资租赁类公司开展对外融资租赁业务时，不受现行境内企业境外放款额度限制。</w:t>
      </w:r>
    </w:p>
    <w:p w:rsidR="00992BCF" w:rsidRDefault="00992BCF">
      <w:pPr>
        <w:adjustRightInd w:val="0"/>
        <w:snapToGrid w:val="0"/>
        <w:spacing w:line="360" w:lineRule="auto"/>
        <w:rPr>
          <w:rFonts w:ascii="Times New Roman" w:eastAsia="黑体" w:hAnsi="Times New Roman" w:cs="Times New Roman"/>
          <w:sz w:val="30"/>
          <w:szCs w:val="30"/>
        </w:rPr>
      </w:pPr>
    </w:p>
    <w:p w:rsidR="00992BCF" w:rsidRDefault="00992BCF">
      <w:pPr>
        <w:adjustRightInd w:val="0"/>
        <w:snapToGrid w:val="0"/>
        <w:spacing w:line="360" w:lineRule="auto"/>
        <w:rPr>
          <w:rFonts w:ascii="Times New Roman" w:eastAsia="黑体" w:hAnsi="Times New Roman" w:cs="Times New Roman"/>
          <w:sz w:val="30"/>
          <w:szCs w:val="30"/>
        </w:rPr>
      </w:pPr>
    </w:p>
    <w:p w:rsidR="00992BCF" w:rsidRDefault="00992BCF">
      <w:pPr>
        <w:adjustRightInd w:val="0"/>
        <w:snapToGrid w:val="0"/>
        <w:spacing w:line="360" w:lineRule="auto"/>
        <w:rPr>
          <w:rFonts w:ascii="Times New Roman" w:eastAsia="黑体" w:hAnsi="Times New Roman" w:cs="Times New Roman"/>
          <w:sz w:val="30"/>
          <w:szCs w:val="30"/>
        </w:rPr>
      </w:pPr>
      <w:bookmarkStart w:id="0" w:name="_GoBack"/>
      <w:bookmarkEnd w:id="0"/>
    </w:p>
    <w:p w:rsidR="00992BCF" w:rsidRDefault="00992BCF">
      <w:pPr>
        <w:adjustRightInd w:val="0"/>
        <w:snapToGrid w:val="0"/>
        <w:spacing w:line="360" w:lineRule="auto"/>
        <w:rPr>
          <w:rFonts w:ascii="Times New Roman" w:eastAsia="黑体" w:hAnsi="Times New Roman" w:cs="Times New Roman"/>
          <w:sz w:val="30"/>
          <w:szCs w:val="30"/>
        </w:rPr>
      </w:pPr>
    </w:p>
    <w:p w:rsidR="00992BCF" w:rsidRDefault="00992BCF">
      <w:pPr>
        <w:adjustRightInd w:val="0"/>
        <w:snapToGrid w:val="0"/>
        <w:spacing w:line="360" w:lineRule="auto"/>
        <w:ind w:firstLineChars="200" w:firstLine="600"/>
        <w:rPr>
          <w:rFonts w:ascii="Times New Roman" w:eastAsia="仿宋_GB2312" w:hAnsi="Times New Roman" w:cs="Times New Roman"/>
          <w:kern w:val="0"/>
          <w:sz w:val="30"/>
          <w:szCs w:val="30"/>
        </w:rPr>
      </w:pPr>
    </w:p>
    <w:sectPr w:rsidR="00992BCF" w:rsidSect="00992BCF">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87" w:rsidRDefault="003A6E87" w:rsidP="00992BCF">
      <w:r>
        <w:separator/>
      </w:r>
    </w:p>
  </w:endnote>
  <w:endnote w:type="continuationSeparator" w:id="1">
    <w:p w:rsidR="003A6E87" w:rsidRDefault="003A6E87" w:rsidP="00992B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仿宋">
    <w:charset w:val="86"/>
    <w:family w:val="auto"/>
    <w:pitch w:val="default"/>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CF" w:rsidRDefault="00992BCF">
    <w:pPr>
      <w:pStyle w:val="a6"/>
      <w:jc w:val="center"/>
    </w:pPr>
    <w:r w:rsidRPr="00992BCF">
      <w:fldChar w:fldCharType="begin"/>
    </w:r>
    <w:r w:rsidR="003A6E87">
      <w:instrText xml:space="preserve"> PAGE   \* MERGEFORMAT </w:instrText>
    </w:r>
    <w:r w:rsidRPr="00992BCF">
      <w:fldChar w:fldCharType="separate"/>
    </w:r>
    <w:r w:rsidR="003A6E87">
      <w:rPr>
        <w:lang w:val="zh-CN"/>
      </w:rPr>
      <w:t>2</w:t>
    </w:r>
    <w:r>
      <w:rPr>
        <w:lang w:val="zh-CN"/>
      </w:rPr>
      <w:fldChar w:fldCharType="end"/>
    </w:r>
  </w:p>
  <w:p w:rsidR="00992BCF" w:rsidRDefault="00992BC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BCF" w:rsidRDefault="00992BCF">
    <w:pPr>
      <w:pStyle w:val="a6"/>
      <w:jc w:val="center"/>
    </w:pPr>
    <w:r w:rsidRPr="00992BCF">
      <w:fldChar w:fldCharType="begin"/>
    </w:r>
    <w:r w:rsidR="003A6E87">
      <w:instrText xml:space="preserve"> PAGE   \* MERGEFORMAT </w:instrText>
    </w:r>
    <w:r w:rsidRPr="00992BCF">
      <w:fldChar w:fldCharType="separate"/>
    </w:r>
    <w:r w:rsidR="000873EE" w:rsidRPr="000873EE">
      <w:rPr>
        <w:noProof/>
        <w:lang w:val="zh-CN"/>
      </w:rPr>
      <w:t>7</w:t>
    </w:r>
    <w:r>
      <w:rPr>
        <w:lang w:val="zh-CN"/>
      </w:rPr>
      <w:fldChar w:fldCharType="end"/>
    </w:r>
  </w:p>
  <w:p w:rsidR="00992BCF" w:rsidRDefault="00992B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87" w:rsidRDefault="003A6E87" w:rsidP="00992BCF">
      <w:r>
        <w:separator/>
      </w:r>
    </w:p>
  </w:footnote>
  <w:footnote w:type="continuationSeparator" w:id="1">
    <w:p w:rsidR="003A6E87" w:rsidRDefault="003A6E87" w:rsidP="00992B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2BCF"/>
    <w:rsid w:val="000873EE"/>
    <w:rsid w:val="003A6E87"/>
    <w:rsid w:val="00992B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119"/>
        <o:r id="V:Rule2" type="connector" idref="#AutoShape 1120"/>
        <o:r id="V:Rule3" type="connector" idref="#AutoShape 1121"/>
        <o:r id="V:Rule4" type="connector" idref="#AutoShape 1122"/>
        <o:r id="V:Rule5" type="connector" idref="#AutoShape 1123"/>
        <o:r id="V:Rule6" type="connector" idref="#AutoShape 1125"/>
        <o:r id="V:Rule7" type="connector" idref="#AutoShape 1127"/>
        <o:r id="V:Rule8" type="connector" idref="#AutoShape 1129"/>
        <o:r id="V:Rule9" type="connector" idref="#AutoShape 1136"/>
        <o:r id="V:Rule10" type="connector" idref="#AutoShape 1137"/>
        <o:r id="V:Rule11" type="connector" idref="#AutoShape 1139"/>
        <o:r id="V:Rule12" type="connector" idref="#AutoShape 1140"/>
        <o:r id="V:Rule13" type="connector" idref="#AutoShape 1143"/>
        <o:r id="V:Rule14" type="connector" idref="#AutoShape 1144"/>
        <o:r id="V:Rule15" type="connector" idref="#AutoShape 1145"/>
        <o:r id="V:Rule16" type="connector" idref="#AutoShape 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Balloon Text" w:semiHidden="0"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CF"/>
    <w:pPr>
      <w:widowControl w:val="0"/>
      <w:jc w:val="both"/>
    </w:pPr>
    <w:rPr>
      <w:rFonts w:ascii="Calibri" w:hAnsi="Calibri" w:cs="黑体"/>
      <w:kern w:val="2"/>
      <w:sz w:val="21"/>
      <w:szCs w:val="22"/>
    </w:rPr>
  </w:style>
  <w:style w:type="paragraph" w:styleId="1">
    <w:name w:val="heading 1"/>
    <w:basedOn w:val="a"/>
    <w:next w:val="a"/>
    <w:link w:val="1Char"/>
    <w:uiPriority w:val="9"/>
    <w:qFormat/>
    <w:rsid w:val="00992BCF"/>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992BCF"/>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rsid w:val="00992BCF"/>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rsid w:val="00992BCF"/>
    <w:rPr>
      <w:rFonts w:ascii="宋体"/>
      <w:sz w:val="18"/>
      <w:szCs w:val="18"/>
    </w:rPr>
  </w:style>
  <w:style w:type="paragraph" w:styleId="a4">
    <w:name w:val="annotation text"/>
    <w:basedOn w:val="a"/>
    <w:link w:val="Char0"/>
    <w:uiPriority w:val="99"/>
    <w:unhideWhenUsed/>
    <w:qFormat/>
    <w:rsid w:val="00992BCF"/>
    <w:pPr>
      <w:jc w:val="left"/>
    </w:pPr>
    <w:rPr>
      <w:rFonts w:cs="Times New Roman"/>
    </w:rPr>
  </w:style>
  <w:style w:type="paragraph" w:styleId="a5">
    <w:name w:val="Balloon Text"/>
    <w:basedOn w:val="a"/>
    <w:link w:val="Char1"/>
    <w:unhideWhenUsed/>
    <w:qFormat/>
    <w:rsid w:val="00992BCF"/>
    <w:rPr>
      <w:sz w:val="18"/>
      <w:szCs w:val="18"/>
    </w:rPr>
  </w:style>
  <w:style w:type="paragraph" w:styleId="a6">
    <w:name w:val="footer"/>
    <w:basedOn w:val="a"/>
    <w:link w:val="Char2"/>
    <w:uiPriority w:val="99"/>
    <w:unhideWhenUsed/>
    <w:rsid w:val="00992BCF"/>
    <w:pPr>
      <w:tabs>
        <w:tab w:val="center" w:pos="4153"/>
        <w:tab w:val="right" w:pos="8306"/>
      </w:tabs>
      <w:snapToGrid w:val="0"/>
      <w:jc w:val="left"/>
    </w:pPr>
    <w:rPr>
      <w:sz w:val="18"/>
      <w:szCs w:val="18"/>
    </w:rPr>
  </w:style>
  <w:style w:type="paragraph" w:styleId="a7">
    <w:name w:val="header"/>
    <w:basedOn w:val="a"/>
    <w:link w:val="Char3"/>
    <w:uiPriority w:val="99"/>
    <w:unhideWhenUsed/>
    <w:rsid w:val="00992BCF"/>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992BCF"/>
    <w:pPr>
      <w:snapToGrid w:val="0"/>
      <w:jc w:val="left"/>
    </w:pPr>
    <w:rPr>
      <w:sz w:val="18"/>
      <w:szCs w:val="18"/>
    </w:rPr>
  </w:style>
  <w:style w:type="character" w:customStyle="1" w:styleId="Char4">
    <w:name w:val="脚注文本 Char"/>
    <w:basedOn w:val="a0"/>
    <w:uiPriority w:val="99"/>
    <w:semiHidden/>
    <w:rsid w:val="00992BCF"/>
    <w:rPr>
      <w:kern w:val="2"/>
      <w:sz w:val="18"/>
      <w:szCs w:val="18"/>
    </w:rPr>
  </w:style>
  <w:style w:type="paragraph" w:styleId="HTML">
    <w:name w:val="HTML Preformatted"/>
    <w:basedOn w:val="a"/>
    <w:link w:val="HTMLChar"/>
    <w:uiPriority w:val="99"/>
    <w:unhideWhenUsed/>
    <w:rsid w:val="00992B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rsid w:val="00992BCF"/>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unhideWhenUsed/>
    <w:rsid w:val="00992BCF"/>
    <w:rPr>
      <w:rFonts w:ascii="ˎ̥" w:hAnsi="ˎ̥" w:hint="default"/>
      <w:color w:val="0453CC"/>
      <w:sz w:val="20"/>
      <w:szCs w:val="20"/>
      <w:u w:val="none"/>
    </w:rPr>
  </w:style>
  <w:style w:type="character" w:styleId="ab">
    <w:name w:val="annotation reference"/>
    <w:basedOn w:val="a0"/>
    <w:semiHidden/>
    <w:unhideWhenUsed/>
    <w:rsid w:val="00992BCF"/>
    <w:rPr>
      <w:sz w:val="21"/>
      <w:szCs w:val="21"/>
    </w:rPr>
  </w:style>
  <w:style w:type="character" w:styleId="ac">
    <w:name w:val="footnote reference"/>
    <w:unhideWhenUsed/>
    <w:qFormat/>
    <w:rsid w:val="00992BCF"/>
    <w:rPr>
      <w:rFonts w:ascii="Times New Roman" w:hAnsi="Times New Roman" w:cs="Times New Roman"/>
      <w:vertAlign w:val="superscript"/>
    </w:rPr>
  </w:style>
  <w:style w:type="paragraph" w:customStyle="1" w:styleId="10">
    <w:name w:val="列出段落1"/>
    <w:basedOn w:val="a"/>
    <w:uiPriority w:val="99"/>
    <w:qFormat/>
    <w:rsid w:val="00992BCF"/>
    <w:pPr>
      <w:ind w:firstLineChars="200" w:firstLine="420"/>
    </w:pPr>
  </w:style>
  <w:style w:type="paragraph" w:customStyle="1" w:styleId="Default">
    <w:name w:val="Default"/>
    <w:uiPriority w:val="99"/>
    <w:qFormat/>
    <w:rsid w:val="00992BCF"/>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rsid w:val="00992BCF"/>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rsid w:val="00992BCF"/>
    <w:rPr>
      <w:rFonts w:ascii="Calibri" w:hAnsi="Calibri" w:cs="黑体"/>
      <w:kern w:val="2"/>
      <w:sz w:val="21"/>
      <w:szCs w:val="22"/>
    </w:rPr>
  </w:style>
  <w:style w:type="paragraph" w:customStyle="1" w:styleId="12">
    <w:name w:val="列出段落1"/>
    <w:basedOn w:val="a"/>
    <w:uiPriority w:val="34"/>
    <w:qFormat/>
    <w:rsid w:val="00992BCF"/>
    <w:pPr>
      <w:ind w:firstLineChars="200" w:firstLine="420"/>
    </w:pPr>
    <w:rPr>
      <w:rFonts w:cs="Times New Roman"/>
    </w:rPr>
  </w:style>
  <w:style w:type="paragraph" w:customStyle="1" w:styleId="4">
    <w:name w:val="列出段落4"/>
    <w:basedOn w:val="a"/>
    <w:qFormat/>
    <w:rsid w:val="00992BCF"/>
    <w:pPr>
      <w:ind w:firstLineChars="200" w:firstLine="200"/>
    </w:pPr>
    <w:rPr>
      <w:rFonts w:cs="Times New Roman"/>
    </w:rPr>
  </w:style>
  <w:style w:type="paragraph" w:customStyle="1" w:styleId="30">
    <w:name w:val="列出段落3"/>
    <w:basedOn w:val="a"/>
    <w:qFormat/>
    <w:rsid w:val="00992BCF"/>
    <w:pPr>
      <w:ind w:firstLineChars="200" w:firstLine="420"/>
    </w:pPr>
    <w:rPr>
      <w:rFonts w:ascii="Times New Roman" w:hAnsi="Times New Roman" w:cs="Times New Roman"/>
      <w:szCs w:val="24"/>
    </w:rPr>
  </w:style>
  <w:style w:type="paragraph" w:customStyle="1" w:styleId="p0">
    <w:name w:val="p0"/>
    <w:basedOn w:val="a"/>
    <w:rsid w:val="00992BCF"/>
    <w:pPr>
      <w:widowControl/>
    </w:pPr>
    <w:rPr>
      <w:rFonts w:cs="宋体"/>
      <w:kern w:val="0"/>
      <w:szCs w:val="21"/>
    </w:rPr>
  </w:style>
  <w:style w:type="character" w:customStyle="1" w:styleId="Char3">
    <w:name w:val="页眉 Char"/>
    <w:basedOn w:val="a0"/>
    <w:link w:val="a7"/>
    <w:uiPriority w:val="99"/>
    <w:rsid w:val="00992BCF"/>
    <w:rPr>
      <w:sz w:val="18"/>
      <w:szCs w:val="18"/>
    </w:rPr>
  </w:style>
  <w:style w:type="character" w:customStyle="1" w:styleId="Char2">
    <w:name w:val="页脚 Char"/>
    <w:basedOn w:val="a0"/>
    <w:link w:val="a6"/>
    <w:uiPriority w:val="99"/>
    <w:rsid w:val="00992BCF"/>
    <w:rPr>
      <w:sz w:val="18"/>
      <w:szCs w:val="18"/>
    </w:rPr>
  </w:style>
  <w:style w:type="character" w:customStyle="1" w:styleId="Char1">
    <w:name w:val="批注框文本 Char"/>
    <w:basedOn w:val="a0"/>
    <w:link w:val="a5"/>
    <w:rsid w:val="00992BCF"/>
    <w:rPr>
      <w:sz w:val="18"/>
      <w:szCs w:val="18"/>
    </w:rPr>
  </w:style>
  <w:style w:type="character" w:customStyle="1" w:styleId="HTMLChar">
    <w:name w:val="HTML 预设格式 Char"/>
    <w:basedOn w:val="a0"/>
    <w:link w:val="HTML"/>
    <w:uiPriority w:val="99"/>
    <w:rsid w:val="00992BCF"/>
    <w:rPr>
      <w:rFonts w:ascii="宋体" w:eastAsia="宋体" w:hAnsi="宋体" w:cs="宋体"/>
      <w:kern w:val="0"/>
      <w:sz w:val="24"/>
      <w:szCs w:val="24"/>
    </w:rPr>
  </w:style>
  <w:style w:type="character" w:customStyle="1" w:styleId="Char0">
    <w:name w:val="批注文字 Char"/>
    <w:basedOn w:val="a0"/>
    <w:link w:val="a4"/>
    <w:rsid w:val="00992BCF"/>
    <w:rPr>
      <w:rFonts w:ascii="Calibri" w:eastAsia="宋体" w:hAnsi="Calibri" w:cs="Times New Roman"/>
    </w:rPr>
  </w:style>
  <w:style w:type="character" w:customStyle="1" w:styleId="1Char">
    <w:name w:val="标题 1 Char"/>
    <w:basedOn w:val="a0"/>
    <w:link w:val="1"/>
    <w:uiPriority w:val="9"/>
    <w:rsid w:val="00992BCF"/>
    <w:rPr>
      <w:rFonts w:ascii="黑体" w:eastAsia="黑体" w:hAnsi="黑体" w:cs="宋体"/>
      <w:color w:val="000000"/>
      <w:kern w:val="0"/>
      <w:sz w:val="30"/>
      <w:szCs w:val="30"/>
    </w:rPr>
  </w:style>
  <w:style w:type="character" w:customStyle="1" w:styleId="2Char">
    <w:name w:val="标题 2 Char"/>
    <w:basedOn w:val="a0"/>
    <w:link w:val="2"/>
    <w:rsid w:val="00992BCF"/>
    <w:rPr>
      <w:rFonts w:ascii="Cambria" w:eastAsia="宋体" w:hAnsi="Cambria" w:cs="Times New Roman"/>
      <w:b/>
      <w:bCs/>
      <w:sz w:val="32"/>
      <w:szCs w:val="32"/>
    </w:rPr>
  </w:style>
  <w:style w:type="character" w:customStyle="1" w:styleId="3Char">
    <w:name w:val="标题 3 Char"/>
    <w:basedOn w:val="a0"/>
    <w:link w:val="3"/>
    <w:uiPriority w:val="9"/>
    <w:rsid w:val="00992BCF"/>
    <w:rPr>
      <w:rFonts w:ascii="仿宋_GB2312" w:eastAsia="仿宋_GB2312" w:hAnsi="Calibri" w:cs="Times New Roman"/>
      <w:sz w:val="30"/>
      <w:szCs w:val="30"/>
    </w:rPr>
  </w:style>
  <w:style w:type="character" w:customStyle="1" w:styleId="Char10">
    <w:name w:val="脚注文本 Char1"/>
    <w:basedOn w:val="a0"/>
    <w:link w:val="a8"/>
    <w:rsid w:val="00992BCF"/>
    <w:rPr>
      <w:rFonts w:ascii="Times New Roman" w:hAnsi="Times New Roman"/>
      <w:sz w:val="18"/>
      <w:szCs w:val="18"/>
    </w:rPr>
  </w:style>
  <w:style w:type="character" w:customStyle="1" w:styleId="4CharChar">
    <w:name w:val="标题 4 Char Char"/>
    <w:qFormat/>
    <w:rsid w:val="00992BCF"/>
    <w:rPr>
      <w:rFonts w:ascii="Calibri" w:hAnsi="Calibri"/>
      <w:b/>
      <w:bCs/>
      <w:sz w:val="28"/>
      <w:szCs w:val="28"/>
      <w:lang w:eastAsia="en-US" w:bidi="en-US"/>
    </w:rPr>
  </w:style>
  <w:style w:type="character" w:customStyle="1" w:styleId="Char">
    <w:name w:val="文档结构图 Char"/>
    <w:basedOn w:val="a0"/>
    <w:link w:val="a3"/>
    <w:rsid w:val="00992BCF"/>
    <w:rPr>
      <w:rFonts w:ascii="宋体"/>
      <w:sz w:val="18"/>
      <w:szCs w:val="18"/>
    </w:rPr>
  </w:style>
  <w:style w:type="character" w:customStyle="1" w:styleId="Char11">
    <w:name w:val="批注文字 Char1"/>
    <w:basedOn w:val="a0"/>
    <w:uiPriority w:val="99"/>
    <w:semiHidden/>
    <w:rsid w:val="00992BCF"/>
    <w:rPr>
      <w:kern w:val="2"/>
      <w:sz w:val="21"/>
      <w:szCs w:val="22"/>
    </w:rPr>
  </w:style>
  <w:style w:type="character" w:customStyle="1" w:styleId="13">
    <w:name w:val="明显强调1"/>
    <w:basedOn w:val="a0"/>
    <w:uiPriority w:val="21"/>
    <w:qFormat/>
    <w:rsid w:val="00992BCF"/>
    <w:rPr>
      <w:b/>
      <w:bCs/>
      <w:i/>
      <w:iCs/>
      <w:color w:val="4F81BD"/>
    </w:rPr>
  </w:style>
  <w:style w:type="character" w:customStyle="1" w:styleId="Char12">
    <w:name w:val="文档结构图 Char1"/>
    <w:basedOn w:val="a0"/>
    <w:uiPriority w:val="99"/>
    <w:semiHidden/>
    <w:qFormat/>
    <w:rsid w:val="00992BCF"/>
    <w:rPr>
      <w:rFonts w:ascii="宋体" w:eastAsia="宋体"/>
      <w:sz w:val="18"/>
      <w:szCs w:val="18"/>
    </w:rPr>
  </w:style>
  <w:style w:type="character" w:customStyle="1" w:styleId="Char20">
    <w:name w:val="脚注文本 Char2"/>
    <w:basedOn w:val="a0"/>
    <w:uiPriority w:val="99"/>
    <w:semiHidden/>
    <w:rsid w:val="00992BC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safe.gov.cn/jilin" TargetMode="External"/><Relationship Id="rId4" Type="http://schemas.openxmlformats.org/officeDocument/2006/relationships/webSettings" Target="webSettings.xml"/><Relationship Id="rId9" Type="http://schemas.openxmlformats.org/officeDocument/2006/relationships/hyperlink" Target="http://www.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编号：57007               _x0001_</dc:title>
  <dc:creator>裴建君2</dc:creator>
  <cp:lastModifiedBy>黄雨杨</cp:lastModifiedBy>
  <cp:revision>2</cp:revision>
  <cp:lastPrinted>2021-04-23T09:19:00Z</cp:lastPrinted>
  <dcterms:created xsi:type="dcterms:W3CDTF">2020-03-17T08:13:00Z</dcterms:created>
  <dcterms:modified xsi:type="dcterms:W3CDTF">2021-04-23T09:21:00Z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