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 xml:space="preserve">编号：57016               </w:t>
      </w:r>
      <w:r>
        <w:rPr>
          <w:rFonts w:ascii="Times New Roman" w:hAnsi="Times New Roman" w:eastAsia="黑体" w:cs="Times New Roman"/>
          <w:kern w:val="2"/>
          <w:sz w:val="48"/>
          <w:szCs w:val="48"/>
          <w:lang w:val="en-US" w:eastAsia="zh-CN" w:bidi="ar-SA"/>
        </w:rPr>
        <w:pict>
          <v:shape id="图片框 1025" o:spid="_x0000_s1026" type="#_x0000_t75" style="height:70.15pt;width:86.9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“外币现钞提取、调运和携带出境审核”行政审批服务指南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hint="eastAsia" w:ascii="Times New Roman" w:hAnsi="Times New Roman" w:eastAsia="仿宋_GB2312" w:cs="Times New Roman"/>
          <w:sz w:val="30"/>
          <w:szCs w:val="30"/>
        </w:rPr>
      </w:pPr>
    </w:p>
    <w:p>
      <w:pPr>
        <w:ind w:right="300"/>
        <w:jc w:val="center"/>
        <w:rPr>
          <w:rFonts w:hint="eastAsia" w:ascii="Times New Roman" w:hAnsi="Times New Roman" w:eastAsia="仿宋_GB2312" w:cs="Times New Roman"/>
          <w:sz w:val="30"/>
          <w:szCs w:val="30"/>
        </w:rPr>
      </w:pPr>
    </w:p>
    <w:p>
      <w:pPr>
        <w:ind w:right="300"/>
        <w:jc w:val="center"/>
        <w:rPr>
          <w:rFonts w:hint="eastAsia"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rPr>
        <w:t>吉林省分局</w:t>
      </w: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titlePg/>
          <w:docGrid w:type="lines" w:linePitch="312"/>
        </w:sectPr>
      </w:pPr>
    </w:p>
    <w:p>
      <w:pPr>
        <w:ind w:right="300"/>
        <w:jc w:val="left"/>
        <w:rPr>
          <w:rFonts w:ascii="Times New Roman" w:hAnsi="Times New Roman" w:eastAsia="黑体" w:cs="Times New Roman"/>
          <w:sz w:val="48"/>
          <w:szCs w:val="48"/>
        </w:rPr>
        <w:sectPr>
          <w:footerReference r:id="rId5" w:type="default"/>
          <w:type w:val="continuous"/>
          <w:pgSz w:w="11906" w:h="16838"/>
          <w:pgMar w:top="1440" w:right="1800" w:bottom="1440" w:left="1800" w:header="851" w:footer="992" w:gutter="0"/>
          <w:cols w:space="720" w:num="1"/>
          <w:docGrid w:type="lines" w:linePitch="312"/>
        </w:sectPr>
      </w:pPr>
    </w:p>
    <w:p>
      <w:pPr>
        <w:adjustRightInd w:val="0"/>
        <w:snapToGrid w:val="0"/>
        <w:spacing w:line="360" w:lineRule="auto"/>
        <w:ind w:firstLine="600" w:firstLineChars="200"/>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项目名称：外币现钞提取、调运和携带出境审核；</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项目编号：57016；</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本指南适用于“外币现钞提取、调运和携带出境审核”的申请和办理。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（一）《中华人民共和国外汇管理条例》（国务院令第532号）第十五条：“携带、申报外币现钞出入境的限额，由国务院外汇管理部门规定”；</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（二）《国务院对确需保留的行政审批项目设定行政许可的决定》（国务院令第412号）附件第495项“机构单笔提取超过规定金额外币现钞审批”。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四、调运外币现钞进出境业务市场准入审批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585"/>
        <w:jc w:val="left"/>
        <w:rPr>
          <w:rFonts w:ascii="Times New Roman" w:hAnsi="Times New Roman" w:eastAsia="仿宋_GB2312" w:cs="Times New Roman"/>
          <w:kern w:val="0"/>
          <w:sz w:val="30"/>
          <w:szCs w:val="30"/>
        </w:rPr>
      </w:pPr>
      <w:r>
        <w:rPr>
          <w:rFonts w:ascii="Times New Roman" w:hAnsi="Times New Roman" w:eastAsia="仿宋_GB2312" w:cs="Times New Roman"/>
          <w:sz w:val="30"/>
          <w:szCs w:val="30"/>
        </w:rPr>
        <w:t>1.</w:t>
      </w:r>
      <w:r>
        <w:rPr>
          <w:rFonts w:ascii="Times New Roman" w:hAnsi="Times New Roman" w:eastAsia="仿宋_GB2312" w:cs="Times New Roman"/>
          <w:kern w:val="0"/>
          <w:sz w:val="30"/>
          <w:szCs w:val="30"/>
        </w:rPr>
        <w:t>《中华人民共和国外汇管理条例》</w:t>
      </w:r>
      <w:r>
        <w:rPr>
          <w:rFonts w:ascii="Times New Roman" w:hAnsi="Times New Roman" w:eastAsia="仿宋_GB2312" w:cs="Times New Roman"/>
          <w:sz w:val="30"/>
          <w:szCs w:val="30"/>
        </w:rPr>
        <w:t>（国务院令第532号）</w:t>
      </w:r>
      <w:r>
        <w:rPr>
          <w:rFonts w:ascii="Times New Roman" w:hAnsi="Times New Roman" w:eastAsia="仿宋_GB2312" w:cs="Times New Roman"/>
          <w:kern w:val="0"/>
          <w:sz w:val="30"/>
          <w:szCs w:val="30"/>
        </w:rPr>
        <w:t>；</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2.</w:t>
      </w:r>
      <w:r>
        <w:rPr>
          <w:rFonts w:ascii="Times New Roman" w:hAnsi="Times New Roman" w:eastAsia="仿宋_GB2312" w:cs="Times New Roman"/>
          <w:kern w:val="0"/>
          <w:sz w:val="30"/>
          <w:szCs w:val="30"/>
        </w:rPr>
        <w:t>《国家外汇管理局海关总署关于印发</w:t>
      </w:r>
      <w:r>
        <w:rPr>
          <w:rFonts w:hint="eastAsia" w:ascii="Times New Roman" w:hAnsi="Times New Roman" w:eastAsia="仿宋_GB2312" w:cs="Times New Roman"/>
          <w:kern w:val="0"/>
          <w:sz w:val="30"/>
          <w:szCs w:val="30"/>
        </w:rPr>
        <w:t>〈</w:t>
      </w:r>
      <w:r>
        <w:rPr>
          <w:rFonts w:ascii="Times New Roman" w:hAnsi="Times New Roman" w:eastAsia="仿宋_GB2312" w:cs="Times New Roman"/>
          <w:kern w:val="0"/>
          <w:sz w:val="30"/>
          <w:szCs w:val="30"/>
        </w:rPr>
        <w:t>调运外币现钞进出境管理规定</w:t>
      </w:r>
      <w:r>
        <w:rPr>
          <w:rFonts w:hint="eastAsia" w:ascii="Times New Roman" w:hAnsi="Times New Roman" w:eastAsia="仿宋_GB2312" w:cs="Times New Roman"/>
          <w:kern w:val="0"/>
          <w:sz w:val="30"/>
          <w:szCs w:val="30"/>
        </w:rPr>
        <w:t>〉</w:t>
      </w:r>
      <w:r>
        <w:rPr>
          <w:rFonts w:ascii="Times New Roman" w:hAnsi="Times New Roman" w:eastAsia="仿宋_GB2312" w:cs="Times New Roman"/>
          <w:kern w:val="0"/>
          <w:sz w:val="30"/>
          <w:szCs w:val="30"/>
        </w:rPr>
        <w:t>的通知》（汇发〔2019〕16号）。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kern w:val="0"/>
          <w:sz w:val="30"/>
          <w:szCs w:val="30"/>
        </w:rPr>
        <w:t>3.《国家外汇管理局关于修订</w:t>
      </w:r>
      <w:r>
        <w:rPr>
          <w:rFonts w:hint="eastAsia" w:ascii="Times New Roman" w:hAnsi="Times New Roman" w:eastAsia="仿宋_GB2312" w:cs="Times New Roman"/>
          <w:kern w:val="0"/>
          <w:sz w:val="30"/>
          <w:szCs w:val="30"/>
        </w:rPr>
        <w:t>〈</w:t>
      </w:r>
      <w:r>
        <w:rPr>
          <w:rFonts w:ascii="Times New Roman" w:hAnsi="Times New Roman" w:eastAsia="仿宋_GB2312" w:cs="Times New Roman"/>
          <w:kern w:val="0"/>
          <w:sz w:val="30"/>
          <w:szCs w:val="30"/>
        </w:rPr>
        <w:t>个人本外币兑换特许业务试点管理办法</w:t>
      </w:r>
      <w:r>
        <w:rPr>
          <w:rFonts w:hint="eastAsia" w:ascii="Times New Roman" w:hAnsi="Times New Roman" w:eastAsia="仿宋_GB2312" w:cs="Times New Roman"/>
          <w:kern w:val="0"/>
          <w:sz w:val="30"/>
          <w:szCs w:val="30"/>
        </w:rPr>
        <w:t>〉</w:t>
      </w:r>
      <w:r>
        <w:rPr>
          <w:rFonts w:ascii="Times New Roman" w:hAnsi="Times New Roman" w:eastAsia="仿宋_GB2312" w:cs="Times New Roman"/>
          <w:kern w:val="0"/>
          <w:sz w:val="30"/>
          <w:szCs w:val="30"/>
        </w:rPr>
        <w:t>的通知》（汇发〔2020〕6号）</w:t>
      </w:r>
      <w:r>
        <w:rPr>
          <w:rFonts w:hint="eastAsia" w:ascii="Times New Roman" w:hAnsi="Times New Roman" w:eastAsia="仿宋_GB2312" w:cs="Times New Roman"/>
          <w:kern w:val="0"/>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仿宋_GB2312" w:cs="Times New Roman"/>
          <w:spacing w:val="-1"/>
          <w:sz w:val="30"/>
          <w:szCs w:val="30"/>
        </w:rPr>
      </w:pPr>
      <w:r>
        <w:rPr>
          <w:rFonts w:ascii="Times New Roman" w:hAnsi="Times New Roman" w:eastAsia="仿宋_GB2312" w:cs="Times New Roman"/>
          <w:sz w:val="30"/>
          <w:szCs w:val="30"/>
        </w:rPr>
        <w:t>国家外汇管理局</w:t>
      </w:r>
      <w:r>
        <w:rPr>
          <w:rFonts w:hint="eastAsia" w:ascii="Times New Roman" w:hAnsi="Times New Roman" w:eastAsia="仿宋_GB2312" w:cs="Times New Roman"/>
          <w:sz w:val="30"/>
          <w:szCs w:val="30"/>
        </w:rPr>
        <w:t>吉林省</w:t>
      </w:r>
      <w:bookmarkStart w:id="0" w:name="_GoBack"/>
      <w:bookmarkEnd w:id="0"/>
      <w:r>
        <w:rPr>
          <w:rFonts w:ascii="Times New Roman" w:hAnsi="Times New Roman" w:eastAsia="仿宋_GB2312" w:cs="Times New Roman"/>
          <w:spacing w:val="-1"/>
          <w:sz w:val="30"/>
          <w:szCs w:val="30"/>
        </w:rPr>
        <w:t>分局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pacing w:val="-1"/>
          <w:sz w:val="30"/>
          <w:szCs w:val="30"/>
        </w:rPr>
      </w:pPr>
      <w:r>
        <w:rPr>
          <w:rFonts w:ascii="Times New Roman" w:hAnsi="Times New Roman" w:eastAsia="仿宋_GB2312" w:cs="Times New Roman"/>
          <w:sz w:val="30"/>
          <w:szCs w:val="30"/>
        </w:rPr>
        <w:t>国家外汇管理局</w:t>
      </w:r>
      <w:r>
        <w:rPr>
          <w:rFonts w:hint="eastAsia" w:ascii="Times New Roman" w:hAnsi="Times New Roman" w:eastAsia="仿宋_GB2312" w:cs="Times New Roman"/>
          <w:sz w:val="30"/>
          <w:szCs w:val="30"/>
        </w:rPr>
        <w:t>吉林省</w:t>
      </w:r>
      <w:r>
        <w:rPr>
          <w:rFonts w:ascii="Times New Roman" w:hAnsi="Times New Roman" w:eastAsia="仿宋_GB2312" w:cs="Times New Roman"/>
          <w:spacing w:val="-1"/>
          <w:sz w:val="30"/>
          <w:szCs w:val="30"/>
        </w:rPr>
        <w:t>分局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申请人为银行总行（或外国银行分行主报告行），需</w:t>
      </w:r>
      <w:r>
        <w:rPr>
          <w:rFonts w:ascii="Times New Roman" w:hAnsi="Times New Roman" w:eastAsia="仿宋_GB2312" w:cs="Times New Roman"/>
          <w:kern w:val="0"/>
          <w:sz w:val="30"/>
          <w:szCs w:val="30"/>
        </w:rPr>
        <w:t>有调运外币现钞进出境的实际需求。个人本外币兑换特许机构办理调运外币现钞业务参见“银行、农村信用社、兑换机构及非金融机构等结汇、售汇业务市场准入、退出审批”行政审批服务指南（编号57013）。</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W w:w="8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685"/>
        <w:gridCol w:w="3739"/>
        <w:gridCol w:w="1006"/>
        <w:gridCol w:w="719"/>
        <w:gridCol w:w="862"/>
        <w:gridCol w:w="719"/>
        <w:gridCol w:w="792"/>
      </w:tblGrid>
      <w:tr>
        <w:trPr>
          <w:cantSplit/>
          <w:trHeight w:val="20" w:hRule="atLeast"/>
        </w:trPr>
        <w:tc>
          <w:tcPr>
            <w:tcW w:w="68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73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00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71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6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1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rPr>
          <w:cantSplit/>
          <w:trHeight w:val="20" w:hRule="atLeast"/>
        </w:trPr>
        <w:tc>
          <w:tcPr>
            <w:tcW w:w="6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7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银行办理调运外币现钞进出境</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业务备案表</w:t>
            </w:r>
          </w:p>
        </w:tc>
        <w:tc>
          <w:tcPr>
            <w:tcW w:w="100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7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86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719" w:type="dxa"/>
            <w:vAlign w:val="center"/>
          </w:tcPr>
          <w:p>
            <w:pPr>
              <w:jc w:val="left"/>
              <w:rPr>
                <w:rFonts w:ascii="Times New Roman" w:hAnsi="Times New Roman" w:eastAsia="仿宋_GB2312" w:cs="Times New Roman"/>
                <w:sz w:val="24"/>
                <w:szCs w:val="24"/>
              </w:rPr>
            </w:pPr>
          </w:p>
        </w:tc>
        <w:tc>
          <w:tcPr>
            <w:tcW w:w="792" w:type="dxa"/>
            <w:vMerge w:val="restart"/>
            <w:vAlign w:val="center"/>
          </w:tcPr>
          <w:p>
            <w:pPr>
              <w:jc w:val="center"/>
              <w:rPr>
                <w:rFonts w:ascii="Times New Roman" w:hAnsi="Times New Roman" w:eastAsia="仿宋_GB2312" w:cs="Times New Roman"/>
                <w:sz w:val="24"/>
                <w:szCs w:val="24"/>
              </w:rPr>
            </w:pPr>
          </w:p>
        </w:tc>
      </w:tr>
      <w:tr>
        <w:trPr>
          <w:cantSplit/>
          <w:trHeight w:val="20" w:hRule="atLeast"/>
        </w:trPr>
        <w:tc>
          <w:tcPr>
            <w:tcW w:w="6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7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可行性报告和业务计划书</w:t>
            </w:r>
          </w:p>
        </w:tc>
        <w:tc>
          <w:tcPr>
            <w:tcW w:w="100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7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6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719" w:type="dxa"/>
            <w:vAlign w:val="center"/>
          </w:tcPr>
          <w:p>
            <w:pPr>
              <w:jc w:val="center"/>
              <w:rPr>
                <w:rFonts w:ascii="Times New Roman" w:hAnsi="Times New Roman" w:eastAsia="仿宋_GB2312" w:cs="Times New Roman"/>
                <w:sz w:val="24"/>
                <w:szCs w:val="24"/>
              </w:rPr>
            </w:pPr>
          </w:p>
        </w:tc>
        <w:tc>
          <w:tcPr>
            <w:tcW w:w="792" w:type="dxa"/>
            <w:vMerge w:val="continue"/>
            <w:vAlign w:val="center"/>
          </w:tcPr>
          <w:p>
            <w:pPr>
              <w:jc w:val="center"/>
              <w:rPr>
                <w:rFonts w:ascii="Times New Roman" w:hAnsi="Times New Roman" w:eastAsia="仿宋_GB2312" w:cs="Times New Roman"/>
                <w:sz w:val="24"/>
                <w:szCs w:val="24"/>
              </w:rPr>
            </w:pPr>
          </w:p>
        </w:tc>
      </w:tr>
      <w:tr>
        <w:trPr>
          <w:cantSplit/>
          <w:trHeight w:val="20" w:hRule="atLeast"/>
        </w:trPr>
        <w:tc>
          <w:tcPr>
            <w:tcW w:w="6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7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调运外币现钞进出境</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业务管理制度</w:t>
            </w:r>
          </w:p>
        </w:tc>
        <w:tc>
          <w:tcPr>
            <w:tcW w:w="100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7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6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719" w:type="dxa"/>
            <w:vAlign w:val="center"/>
          </w:tcPr>
          <w:p>
            <w:pPr>
              <w:jc w:val="center"/>
              <w:rPr>
                <w:rFonts w:ascii="Times New Roman" w:hAnsi="Times New Roman" w:eastAsia="仿宋_GB2312" w:cs="Times New Roman"/>
                <w:sz w:val="24"/>
                <w:szCs w:val="24"/>
              </w:rPr>
            </w:pPr>
          </w:p>
        </w:tc>
        <w:tc>
          <w:tcPr>
            <w:tcW w:w="792" w:type="dxa"/>
            <w:vMerge w:val="continue"/>
            <w:vAlign w:val="center"/>
          </w:tcPr>
          <w:p>
            <w:pPr>
              <w:jc w:val="center"/>
              <w:rPr>
                <w:rFonts w:ascii="Times New Roman" w:hAnsi="Times New Roman" w:eastAsia="仿宋_GB2312" w:cs="Times New Roman"/>
                <w:sz w:val="24"/>
                <w:szCs w:val="24"/>
              </w:rPr>
            </w:pPr>
          </w:p>
        </w:tc>
      </w:tr>
    </w:tbl>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申请人可通过窗口、邮寄、国家外汇管理局政务服务网上办理系统等提交材料。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1.新办流程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（1）申请人持《银行办理调运外币现钞进出境业务备案表》（一式两份）及有关材料，向国家外汇管理局</w:t>
      </w:r>
      <w:r>
        <w:rPr>
          <w:rFonts w:hint="eastAsia" w:ascii="Times New Roman" w:hAnsi="Times New Roman" w:eastAsia="仿宋_GB2312" w:cs="Times New Roman"/>
          <w:sz w:val="30"/>
          <w:szCs w:val="30"/>
        </w:rPr>
        <w:t>吉林省分局</w:t>
      </w:r>
      <w:r>
        <w:rPr>
          <w:rFonts w:ascii="Times New Roman" w:hAnsi="Times New Roman" w:eastAsia="仿宋_GB2312" w:cs="Times New Roman"/>
          <w:sz w:val="30"/>
          <w:szCs w:val="30"/>
        </w:rPr>
        <w:t>进行备案。</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（2）分局收到申请人内容齐全的备案材料后，在其提交的《银行办理调运外币现钞进出境业务备案表》上加盖签章予以确认，并将其中一份备案表退还申请人留存。</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（3）分局应自申请人备案之日起10个工作日内将备案银行情况书面通知当地直属海关，同时抄送国家外汇管理局及辖内中心支局、支局；当地直属海关收到当地分局通知后，应在10个工作日内转报海关总署。</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2.停办流程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已获得调运外币现钞进出境业务资格的申请人停办调运外币现钞进出境业务，应当自停办业务之日前30个工作日由其总行向国家外汇管理局</w:t>
      </w:r>
      <w:r>
        <w:rPr>
          <w:rFonts w:hint="eastAsia" w:ascii="Times New Roman" w:hAnsi="Times New Roman" w:eastAsia="仿宋_GB2312" w:cs="Times New Roman"/>
          <w:sz w:val="30"/>
          <w:szCs w:val="30"/>
        </w:rPr>
        <w:t>吉林省分局</w:t>
      </w:r>
      <w:r>
        <w:rPr>
          <w:rFonts w:ascii="Times New Roman" w:hAnsi="Times New Roman" w:eastAsia="仿宋_GB2312" w:cs="Times New Roman"/>
          <w:sz w:val="30"/>
          <w:szCs w:val="30"/>
        </w:rPr>
        <w:t>提交《银行停办调运外币现钞进出境业务备案表》履行停办备案手续。分局按照新办流程中第三条程序分别通知有关部门。</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3.材料不全或不符合法定形式的，一次性告知补正材料，并出具《行政许可补正通知书》。</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一般程序：申请、受理、初审、作出审批决定、出具审批文件。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20</w:t>
      </w:r>
      <w:r>
        <w:rPr>
          <w:rFonts w:ascii="Times New Roman" w:hAnsi="Times New Roman" w:eastAsia="仿宋_GB2312" w:cs="Times New Roman"/>
          <w:sz w:val="30"/>
          <w:szCs w:val="30"/>
        </w:rPr>
        <w:t>个工作日。</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加盖国家外汇管理局</w:t>
      </w:r>
      <w:r>
        <w:rPr>
          <w:rFonts w:hint="eastAsia" w:ascii="Times New Roman" w:hAnsi="Times New Roman" w:eastAsia="仿宋_GB2312" w:cs="Times New Roman"/>
          <w:sz w:val="30"/>
          <w:szCs w:val="30"/>
        </w:rPr>
        <w:t>吉林省分局</w:t>
      </w:r>
      <w:r>
        <w:rPr>
          <w:rFonts w:ascii="Times New Roman" w:hAnsi="Times New Roman" w:eastAsia="仿宋_GB2312" w:cs="Times New Roman"/>
          <w:sz w:val="30"/>
          <w:szCs w:val="30"/>
        </w:rPr>
        <w:t>签章的《银行调运外币现钞进出境业务备案表》</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color w:val="000000"/>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w:t>
      </w:r>
      <w:r>
        <w:rPr>
          <w:rFonts w:ascii="Times New Roman" w:hAnsi="Times New Roman" w:eastAsia="仿宋_GB2312" w:cs="Times New Roman"/>
          <w:color w:val="000000"/>
          <w:sz w:val="30"/>
          <w:szCs w:val="30"/>
        </w:rPr>
        <w:t>合法合规办理相关业务。</w:t>
      </w:r>
    </w:p>
    <w:p>
      <w:pPr>
        <w:adjustRightInd w:val="0"/>
        <w:snapToGrid w:val="0"/>
        <w:spacing w:line="360" w:lineRule="auto"/>
        <w:ind w:firstLine="600" w:firstLineChars="20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（十五）事项审查类型</w:t>
      </w:r>
    </w:p>
    <w:p>
      <w:pPr>
        <w:adjustRightInd w:val="0"/>
        <w:snapToGrid w:val="0"/>
        <w:spacing w:line="360" w:lineRule="auto"/>
        <w:ind w:firstLine="600" w:firstLineChars="2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前审后批。</w:t>
      </w:r>
    </w:p>
    <w:p>
      <w:pPr>
        <w:adjustRightInd w:val="0"/>
        <w:snapToGrid w:val="0"/>
        <w:spacing w:line="360" w:lineRule="auto"/>
        <w:ind w:firstLine="60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（十六）办公地址和时间</w:t>
      </w:r>
    </w:p>
    <w:p>
      <w:pPr>
        <w:adjustRightInd w:val="0"/>
        <w:snapToGrid w:val="0"/>
        <w:spacing w:line="360" w:lineRule="auto"/>
        <w:ind w:firstLine="600" w:firstLineChars="200"/>
        <w:rPr>
          <w:rFonts w:ascii="Times New Roman" w:hAnsi="Times New Roman" w:eastAsia="仿宋_GB2312" w:cs="Times New Roman"/>
          <w:color w:val="000000"/>
          <w:sz w:val="30"/>
          <w:szCs w:val="30"/>
        </w:rPr>
      </w:pPr>
      <w:r>
        <w:rPr>
          <w:rFonts w:ascii="仿宋_GB2312" w:hAnsi="Times New Roman" w:eastAsia="仿宋_GB2312"/>
          <w:color w:val="000000"/>
          <w:sz w:val="30"/>
          <w:szCs w:val="30"/>
        </w:rPr>
        <w:t>该项行政许可具体由国家外汇管理局分局办理，</w:t>
      </w:r>
      <w:r>
        <w:rPr>
          <w:rFonts w:hint="eastAsia" w:ascii="仿宋_GB2312" w:hAnsi="Times New Roman" w:eastAsia="仿宋_GB2312"/>
          <w:color w:val="000000"/>
          <w:sz w:val="30"/>
          <w:szCs w:val="30"/>
        </w:rPr>
        <w:t>国家外汇管理局吉林省</w:t>
      </w:r>
      <w:r>
        <w:rPr>
          <w:rFonts w:ascii="仿宋_GB2312" w:hAnsi="Times New Roman" w:eastAsia="仿宋_GB2312"/>
          <w:color w:val="000000"/>
          <w:sz w:val="30"/>
          <w:szCs w:val="30"/>
        </w:rPr>
        <w:t>分局办公地址和办公时间见</w:t>
      </w:r>
      <w:r>
        <w:rPr>
          <w:rFonts w:hint="eastAsia" w:ascii="仿宋_GB2312" w:hAnsi="Times New Roman" w:eastAsia="仿宋_GB2312"/>
          <w:color w:val="000000"/>
          <w:sz w:val="30"/>
          <w:szCs w:val="30"/>
        </w:rPr>
        <w:t>国家外汇管理局吉林省分局官方互联网站“咨询反馈——联系我们”栏目。</w:t>
      </w:r>
    </w:p>
    <w:p>
      <w:pPr>
        <w:adjustRightInd w:val="0"/>
        <w:snapToGrid w:val="0"/>
        <w:spacing w:line="360" w:lineRule="auto"/>
        <w:ind w:firstLine="60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（十七）禁止性要求</w:t>
      </w:r>
    </w:p>
    <w:p>
      <w:pPr>
        <w:adjustRightInd w:val="0"/>
        <w:snapToGrid w:val="0"/>
        <w:spacing w:line="360" w:lineRule="auto"/>
        <w:ind w:firstLine="6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详见（五）办事条件。</w:t>
      </w:r>
    </w:p>
    <w:p>
      <w:pPr>
        <w:adjustRightInd w:val="0"/>
        <w:snapToGrid w:val="0"/>
        <w:spacing w:line="360" w:lineRule="auto"/>
        <w:ind w:firstLine="60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（十八）咨询途径</w:t>
      </w:r>
    </w:p>
    <w:p>
      <w:pPr>
        <w:adjustRightInd w:val="0"/>
        <w:snapToGrid w:val="0"/>
        <w:spacing w:line="360" w:lineRule="auto"/>
        <w:ind w:firstLine="6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电话、电子邮件。</w:t>
      </w:r>
    </w:p>
    <w:p>
      <w:pPr>
        <w:adjustRightInd w:val="0"/>
        <w:snapToGrid w:val="0"/>
        <w:spacing w:line="360" w:lineRule="auto"/>
        <w:ind w:firstLine="60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（十九）办理进程和结果公开查询</w:t>
      </w:r>
    </w:p>
    <w:p>
      <w:pPr>
        <w:adjustRightInd w:val="0"/>
        <w:snapToGrid w:val="0"/>
        <w:spacing w:line="360" w:lineRule="auto"/>
        <w:ind w:firstLine="601"/>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向外汇局</w:t>
      </w:r>
      <w:r>
        <w:rPr>
          <w:rFonts w:hint="eastAsia" w:ascii="Times New Roman" w:hAnsi="Times New Roman" w:eastAsia="仿宋_GB2312" w:cs="Times New Roman"/>
          <w:color w:val="000000"/>
          <w:sz w:val="30"/>
          <w:szCs w:val="30"/>
        </w:rPr>
        <w:t>吉林省分局及各市（州）中心支局</w:t>
      </w:r>
      <w:r>
        <w:rPr>
          <w:rFonts w:ascii="Times New Roman" w:hAnsi="Times New Roman" w:eastAsia="仿宋_GB2312" w:cs="Times New Roman"/>
          <w:color w:val="000000"/>
          <w:sz w:val="30"/>
          <w:szCs w:val="30"/>
        </w:rPr>
        <w:t>进行咨询、进程查询、监督和投诉等</w:t>
      </w:r>
      <w:r>
        <w:rPr>
          <w:rFonts w:hint="eastAsia" w:ascii="Times New Roman" w:hAnsi="Times New Roman" w:eastAsia="仿宋_GB2312" w:cs="Times New Roman"/>
          <w:color w:val="000000"/>
          <w:sz w:val="30"/>
          <w:szCs w:val="30"/>
          <w:highlight w:val="none"/>
        </w:rPr>
        <w:t>可通过国</w:t>
      </w:r>
      <w:r>
        <w:rPr>
          <w:rFonts w:hint="eastAsia" w:ascii="Times New Roman" w:hAnsi="Times New Roman" w:eastAsia="仿宋_GB2312" w:cs="Times New Roman"/>
          <w:color w:val="000000"/>
          <w:sz w:val="30"/>
          <w:szCs w:val="30"/>
        </w:rPr>
        <w:t>家外汇管理局吉林省分局官方互联网站“咨询反馈”栏目进行。网址为</w:t>
      </w:r>
      <w:r>
        <w:rPr>
          <w:color w:val="000000"/>
        </w:rPr>
        <w:fldChar w:fldCharType="begin"/>
      </w:r>
      <w:r>
        <w:rPr>
          <w:color w:val="000000"/>
        </w:rPr>
        <w:instrText xml:space="preserve">HYPERLINK "http://www.safe.gov.cn/jilin" </w:instrText>
      </w:r>
      <w:r>
        <w:rPr>
          <w:color w:val="000000"/>
        </w:rPr>
        <w:fldChar w:fldCharType="separate"/>
      </w:r>
      <w:r>
        <w:rPr>
          <w:rStyle w:val="15"/>
          <w:rFonts w:ascii="Times New Roman" w:hAnsi="Times New Roman" w:eastAsia="仿宋_GB2312" w:cs="Times New Roman"/>
          <w:color w:val="000000"/>
          <w:sz w:val="30"/>
          <w:szCs w:val="30"/>
        </w:rPr>
        <w:t>www.safe.gov.cn/jilin</w:t>
      </w:r>
      <w:r>
        <w:rPr>
          <w:color w:val="000000"/>
        </w:rPr>
        <w:fldChar w:fldCharType="end"/>
      </w:r>
      <w:r>
        <w:rPr>
          <w:rFonts w:hint="eastAsia" w:ascii="Times New Roman" w:hAnsi="Times New Roman" w:eastAsia="仿宋_GB2312" w:cs="Times New Roman"/>
          <w:color w:val="000000"/>
          <w:sz w:val="30"/>
          <w:szCs w:val="30"/>
        </w:rPr>
        <w:t>，也可通过国家外汇管理局吉林省分局官方互联网站“咨询反馈——联系我们”栏目中</w:t>
      </w:r>
      <w:r>
        <w:rPr>
          <w:rFonts w:ascii="Times New Roman" w:hAnsi="Times New Roman" w:eastAsia="仿宋_GB2312" w:cs="Times New Roman"/>
          <w:color w:val="000000"/>
          <w:sz w:val="30"/>
          <w:szCs w:val="30"/>
        </w:rPr>
        <w:t>公布的电话进行。</w:t>
      </w:r>
    </w:p>
    <w:p>
      <w:pPr>
        <w:adjustRightInd w:val="0"/>
        <w:snapToGrid w:val="0"/>
        <w:spacing w:line="360" w:lineRule="auto"/>
        <w:ind w:firstLine="6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通过国家外汇管理局政务服务网上办理系统提交申请的，可在该系统内进行查询。</w:t>
      </w:r>
    </w:p>
    <w:p>
      <w:pPr>
        <w:adjustRightInd w:val="0"/>
        <w:snapToGrid w:val="0"/>
        <w:spacing w:line="360" w:lineRule="auto"/>
        <w:ind w:firstLine="60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（二十）监督投诉渠道</w:t>
      </w:r>
    </w:p>
    <w:p>
      <w:pPr>
        <w:adjustRightInd w:val="0"/>
        <w:snapToGrid w:val="0"/>
        <w:spacing w:line="360" w:lineRule="auto"/>
        <w:ind w:firstLine="601"/>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向国家外汇管理局咨询、监督投诉等可通过国家外汇管理局官方互联网站公众交流栏目进行。网址为</w:t>
      </w:r>
      <w:r>
        <w:rPr>
          <w:color w:val="000000"/>
        </w:rPr>
        <w:fldChar w:fldCharType="begin"/>
      </w:r>
      <w:r>
        <w:rPr>
          <w:color w:val="000000"/>
        </w:rPr>
        <w:instrText xml:space="preserve">HYPERLINK "http://www.safe.gov.cn/" </w:instrText>
      </w:r>
      <w:r>
        <w:rPr>
          <w:color w:val="000000"/>
        </w:rPr>
        <w:fldChar w:fldCharType="separate"/>
      </w:r>
      <w:r>
        <w:rPr>
          <w:rStyle w:val="15"/>
          <w:rFonts w:ascii="Times New Roman" w:hAnsi="Times New Roman" w:eastAsia="仿宋_GB2312" w:cs="Times New Roman"/>
          <w:color w:val="000000"/>
          <w:sz w:val="30"/>
          <w:szCs w:val="30"/>
        </w:rPr>
        <w:t>www.safe.gov.cn</w:t>
      </w:r>
      <w:r>
        <w:rPr>
          <w:color w:val="000000"/>
        </w:rPr>
        <w:fldChar w:fldCharType="end"/>
      </w:r>
      <w:r>
        <w:rPr>
          <w:rFonts w:ascii="Times New Roman" w:hAnsi="Times New Roman" w:eastAsia="仿宋_GB2312" w:cs="Times New Roman"/>
          <w:color w:val="000000"/>
          <w:sz w:val="30"/>
          <w:szCs w:val="30"/>
        </w:rPr>
        <w:t>。</w:t>
      </w:r>
    </w:p>
    <w:p>
      <w:pPr>
        <w:adjustRightInd w:val="0"/>
        <w:snapToGrid w:val="0"/>
        <w:spacing w:line="360" w:lineRule="auto"/>
        <w:ind w:firstLine="601"/>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向外汇局</w:t>
      </w:r>
      <w:r>
        <w:rPr>
          <w:rFonts w:hint="eastAsia" w:ascii="Times New Roman" w:hAnsi="Times New Roman" w:eastAsia="仿宋_GB2312" w:cs="Times New Roman"/>
          <w:color w:val="000000"/>
          <w:sz w:val="30"/>
          <w:szCs w:val="30"/>
        </w:rPr>
        <w:t>吉林省分局及各市（州）中心支局</w:t>
      </w:r>
      <w:r>
        <w:rPr>
          <w:rFonts w:ascii="Times New Roman" w:hAnsi="Times New Roman" w:eastAsia="仿宋_GB2312" w:cs="Times New Roman"/>
          <w:color w:val="000000"/>
          <w:sz w:val="30"/>
          <w:szCs w:val="30"/>
        </w:rPr>
        <w:t>进行咨询、监督和投诉等可通过</w:t>
      </w:r>
      <w:r>
        <w:rPr>
          <w:rFonts w:hint="eastAsia" w:ascii="Times New Roman" w:hAnsi="Times New Roman" w:eastAsia="仿宋_GB2312" w:cs="Times New Roman"/>
          <w:color w:val="000000"/>
          <w:sz w:val="30"/>
          <w:szCs w:val="30"/>
        </w:rPr>
        <w:t>国家外汇管理局吉林省分局官方互联网站“咨询反馈”栏目进行。网址为</w:t>
      </w:r>
      <w:r>
        <w:rPr>
          <w:color w:val="000000"/>
        </w:rPr>
        <w:fldChar w:fldCharType="begin"/>
      </w:r>
      <w:r>
        <w:rPr>
          <w:color w:val="000000"/>
        </w:rPr>
        <w:instrText xml:space="preserve">HYPERLINK "http://www.safe.gov.cn/jilin" </w:instrText>
      </w:r>
      <w:r>
        <w:rPr>
          <w:color w:val="000000"/>
        </w:rPr>
        <w:fldChar w:fldCharType="separate"/>
      </w:r>
      <w:r>
        <w:rPr>
          <w:rStyle w:val="15"/>
          <w:rFonts w:ascii="Times New Roman" w:hAnsi="Times New Roman" w:eastAsia="仿宋_GB2312" w:cs="Times New Roman"/>
          <w:color w:val="000000"/>
          <w:sz w:val="30"/>
          <w:szCs w:val="30"/>
        </w:rPr>
        <w:t>www.safe.gov.cn/jilin</w:t>
      </w:r>
      <w:r>
        <w:rPr>
          <w:color w:val="000000"/>
        </w:rPr>
        <w:fldChar w:fldCharType="end"/>
      </w:r>
      <w:r>
        <w:rPr>
          <w:rFonts w:hint="eastAsia" w:ascii="Times New Roman" w:hAnsi="Times New Roman" w:eastAsia="仿宋_GB2312" w:cs="Times New Roman"/>
          <w:color w:val="000000"/>
          <w:sz w:val="30"/>
          <w:szCs w:val="30"/>
        </w:rPr>
        <w:t>，也可通过国家外汇管理局吉林省分局官方互联网站“咨询反馈——联系我们”栏目中</w:t>
      </w:r>
      <w:r>
        <w:rPr>
          <w:rFonts w:ascii="Times New Roman" w:hAnsi="Times New Roman" w:eastAsia="仿宋_GB2312" w:cs="Times New Roman"/>
          <w:color w:val="000000"/>
          <w:sz w:val="30"/>
          <w:szCs w:val="30"/>
        </w:rPr>
        <w:t>公布的电话进行。</w:t>
      </w:r>
    </w:p>
    <w:p>
      <w:pPr>
        <w:adjustRightInd w:val="0"/>
        <w:snapToGrid w:val="0"/>
        <w:spacing w:line="360" w:lineRule="auto"/>
        <w:ind w:firstLine="60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（二十一）申请材料示范文本</w:t>
      </w:r>
    </w:p>
    <w:p>
      <w:pPr>
        <w:adjustRightInd w:val="0"/>
        <w:snapToGrid w:val="0"/>
        <w:spacing w:line="360" w:lineRule="auto"/>
        <w:ind w:firstLine="6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见附表1、附表2。</w:t>
      </w:r>
    </w:p>
    <w:p>
      <w:pPr>
        <w:adjustRightInd w:val="0"/>
        <w:snapToGrid w:val="0"/>
        <w:spacing w:line="360" w:lineRule="auto"/>
        <w:ind w:firstLine="60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（二十二）常见问题解答</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审批时限在</w:t>
      </w:r>
      <w:r>
        <w:rPr>
          <w:rFonts w:hint="eastAsia" w:ascii="Times New Roman" w:hAnsi="Times New Roman" w:eastAsia="仿宋_GB2312" w:cs="Times New Roman"/>
          <w:sz w:val="30"/>
          <w:szCs w:val="30"/>
        </w:rPr>
        <w:t>20</w:t>
      </w:r>
      <w:r>
        <w:rPr>
          <w:rFonts w:ascii="Times New Roman" w:hAnsi="Times New Roman" w:eastAsia="仿宋_GB2312" w:cs="Times New Roman"/>
          <w:sz w:val="30"/>
          <w:szCs w:val="30"/>
        </w:rPr>
        <w:t>个工作日以内。</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（二十三）常见错误示例</w:t>
      </w:r>
    </w:p>
    <w:p>
      <w:pPr>
        <w:adjustRightInd w:val="0"/>
        <w:snapToGrid w:val="0"/>
        <w:spacing w:line="360" w:lineRule="auto"/>
        <w:ind w:firstLine="600"/>
        <w:rPr>
          <w:rFonts w:ascii="Times New Roman" w:hAnsi="Times New Roman" w:eastAsia="仿宋_GB2312" w:cs="Times New Roman"/>
          <w:sz w:val="30"/>
          <w:szCs w:val="30"/>
        </w:rPr>
        <w:sectPr>
          <w:pgSz w:w="11906" w:h="16838"/>
          <w:pgMar w:top="1440" w:right="1800" w:bottom="1440" w:left="1800" w:header="851" w:footer="992" w:gutter="0"/>
          <w:pgNumType w:start="1"/>
          <w:cols w:space="720" w:num="1"/>
          <w:docGrid w:type="lines" w:linePitch="312"/>
        </w:sectPr>
      </w:pPr>
      <w:r>
        <w:rPr>
          <w:rFonts w:ascii="Times New Roman" w:hAnsi="Times New Roman" w:eastAsia="仿宋_GB2312" w:cs="Times New Roman"/>
          <w:sz w:val="30"/>
          <w:szCs w:val="30"/>
        </w:rPr>
        <w:t>申请材料要件不全。</w:t>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rPr>
          <w:rFonts w:ascii="Times New Roman" w:hAnsi="Times New Roman" w:cs="Times New Roman"/>
        </w:rPr>
      </w:pPr>
      <w:r>
        <w:rPr>
          <w:rFonts w:ascii="Times New Roman" w:hAnsi="Times New Roman" w:eastAsia="宋体" w:cs="Times New Roman"/>
          <w:kern w:val="2"/>
          <w:sz w:val="21"/>
          <w:szCs w:val="22"/>
          <w:lang w:val="en-US" w:eastAsia="zh-CN" w:bidi="ar-SA"/>
        </w:rPr>
        <w:pict>
          <v:group id="组合 1026" o:spid="_x0000_s1027" style="position:absolute;left:0;margin-left:-41.35pt;margin-top:16.05pt;height:439.05pt;width:474.15pt;rotation:0f;z-index:251658240;" coordorigin="718,3009" coordsize="9483,8781">
            <o:lock v:ext="edit" position="f" selection="f" grouping="f" rotation="f" cropping="f" text="f" aspectratio="f"/>
            <v:roundrect id="圆角矩形 20" o:spid="_x0000_s1028" style="position:absolute;left:1298;top:3009;height:1684;width:2979;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spacing w:before="34"/>
                      <w:rPr>
                        <w:rFonts w:ascii="宋体" w:hAnsi="宋体" w:cs="宋体"/>
                        <w:szCs w:val="21"/>
                      </w:rPr>
                    </w:pPr>
                    <w:r>
                      <w:rPr>
                        <w:rFonts w:hint="eastAsia" w:ascii="宋体" w:hAnsi="宋体" w:cs="宋体"/>
                        <w:szCs w:val="21"/>
                      </w:rPr>
                      <w:t>申请人以现场、邮寄、国家外汇管理局政务服务网上办理系统等提交材料提出书面申请，并提交材料</w:t>
                    </w:r>
                  </w:p>
                  <w:p/>
                </w:txbxContent>
              </v:textbox>
            </v:roundrect>
            <v:roundrect id="圆角矩形 17" o:spid="_x0000_s1029" style="position:absolute;left:7272;top:4592;height:674;width:2929;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ind w:firstLine="420" w:firstLineChars="200"/>
                    </w:pPr>
                    <w:r>
                      <w:rPr>
                        <w:rFonts w:hint="eastAsia"/>
                      </w:rPr>
                      <w:t>申请人补全材料</w:t>
                    </w:r>
                  </w:p>
                </w:txbxContent>
              </v:textbox>
            </v:roundrect>
            <v:roundrect id="圆角矩形 10" o:spid="_x0000_s1030" style="position:absolute;left:4730;top:5541;height:500;width:5362;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roundrect>
            <v:roundrect id="圆角矩形 8" o:spid="_x0000_s1031" style="position:absolute;left:4699;top:6297;height:906;width:5362;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roundrect>
            <v:roundrect id="圆角矩形 14" o:spid="_x0000_s1032" style="position:absolute;left:3434;top:7971;height:603;width:4218;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ind w:firstLine="525" w:firstLineChars="250"/>
                    </w:pPr>
                    <w:r>
                      <w:rPr>
                        <w:rFonts w:hint="eastAsia"/>
                      </w:rPr>
                      <w:t>依法应予受理，出具受理单</w:t>
                    </w:r>
                  </w:p>
                </w:txbxContent>
              </v:textbox>
            </v:roundrect>
            <v:roundrect id="圆角矩形 1" o:spid="_x0000_s1033" style="position:absolute;left:3434;top:9011;height:702;width:4219;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jc w:val="center"/>
                    </w:pPr>
                    <w:r>
                      <w:rPr>
                        <w:rFonts w:hint="eastAsia"/>
                      </w:rPr>
                      <w:t>审查报批</w:t>
                    </w:r>
                  </w:p>
                </w:txbxContent>
              </v:textbox>
            </v:roundrect>
            <v:roundrect id="圆角矩形 5" o:spid="_x0000_s1034" style="position:absolute;left:6174;top:10618;height:1172;width:3617;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依法作出不予许可决定，并送达</w:t>
                    </w:r>
                  </w:p>
                </w:txbxContent>
              </v:textbox>
            </v:roundrect>
            <v:roundrect id="圆角矩形 4" o:spid="_x0000_s1035" style="position:absolute;left:1848;top:10618;height:1172;width:3952;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予以许可，向申请人出具加盖签章的备案表</w:t>
                    </w:r>
                  </w:p>
                </w:txbxContent>
              </v:textbox>
            </v:roundrect>
            <v:shape id="直接箭头连接符 18" o:spid="_x0000_s1036" type="#_x0000_t32" style="position:absolute;left:2355;top:4936;height:0;width:499;rotation:589824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直接箭头连接符 11" o:spid="_x0000_s1037" type="#_x0000_t34" style="position:absolute;left:3525;top:5655;height:1;width:1172;rotation:0f;" o:ole="f" fillcolor="#FFFFFF" filled="t" o:preferrelative="t" stroked="t" coordorigin="0,0" coordsize="21600,21600" adj="10800">
              <v:stroke color="#000000" color2="#FFFFFF" miterlimit="2" endarrow="block"/>
              <v:imagedata gain="65536f" blacklevel="0f" gamma="0"/>
              <o:lock v:ext="edit" position="f" selection="f" grouping="f" rotation="f" cropping="f" text="f" aspectratio="f"/>
            </v:shape>
            <v:shape id="直接箭头连接符 7" o:spid="_x0000_s1038" type="#_x0000_t34" style="position:absolute;left:3525;top:6735;height:1;width:1172;rotation:0f;" o:ole="f" fillcolor="#FFFFFF" filled="t" o:preferrelative="t" stroked="t" coordorigin="0,0" coordsize="21600,21600" adj="10800">
              <v:stroke color="#000000" color2="#FFFFFF" miterlimit="2" endarrow="block"/>
              <v:imagedata gain="65536f" blacklevel="0f" gamma="0"/>
              <o:lock v:ext="edit" position="f" selection="f" grouping="f" rotation="f" cropping="f" text="f" aspectratio="f"/>
            </v:shape>
            <v:shape id="直接箭头连接符 19" o:spid="_x0000_s1039" type="#_x0000_t32" style="position:absolute;left:2629;top:4981;flip:x;height:1;width:464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直接箭头连接符 13" o:spid="_x0000_s1040" type="#_x0000_t32" style="position:absolute;left:5490;top:8574;height:437;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直接箭头连接符 3" o:spid="_x0000_s1041" type="#_x0000_t32" style="position:absolute;left:6771;top:9713;height:905;width:1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直接箭头连接符 2" o:spid="_x0000_s1042" type="#_x0000_t32" style="position:absolute;left:4289;top:9713;height:90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直接箭头连接符 15" o:spid="_x0000_s1043" type="#_x0000_t32" style="position:absolute;left:2612;top:6826;height:1391;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直接箭头连接符 16" o:spid="_x0000_s1044" type="#_x0000_t32" style="position:absolute;left:2612;top:8217;height:0;width:822;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流程图: 决策 6" o:spid="_x0000_s1045" type="#_x0000_t110" style="position:absolute;left:718;top:5192;height:2011;width:3796;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接件并当场（或5个工作日）作出是否受理决定</w:t>
                    </w:r>
                  </w:p>
                  <w:p/>
                </w:txbxContent>
              </v:textbox>
            </v:shape>
            <v:shape id="_x0000_s1110" o:spid="_x0000_s1046" type="#_x0000_t32" style="position:absolute;left:8910;top:5266;flip:y;height:27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w:pict>
      </w:r>
    </w:p>
    <w:p>
      <w:pPr>
        <w:widowControl/>
        <w:jc w:val="left"/>
        <w:rPr>
          <w:rFonts w:ascii="Times New Roman" w:hAnsi="Times New Roman" w:eastAsia="仿宋_GB2312" w:cs="Times New Roman"/>
          <w:sz w:val="34"/>
          <w:szCs w:val="34"/>
        </w:rPr>
      </w:pP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4"/>
          <w:szCs w:val="34"/>
        </w:rPr>
        <w:br w:type="page"/>
      </w:r>
      <w:r>
        <w:rPr>
          <w:rFonts w:ascii="Times New Roman" w:hAnsi="Times New Roman" w:eastAsia="仿宋_GB2312" w:cs="Times New Roman"/>
          <w:sz w:val="30"/>
          <w:szCs w:val="30"/>
        </w:rPr>
        <w:t>附表1</w:t>
      </w:r>
    </w:p>
    <w:p>
      <w:pPr>
        <w:spacing w:line="360" w:lineRule="auto"/>
        <w:rPr>
          <w:rFonts w:ascii="Times New Roman" w:hAnsi="Times New Roman" w:eastAsia="仿宋_GB2312" w:cs="Times New Roman"/>
          <w:sz w:val="34"/>
          <w:szCs w:val="34"/>
        </w:rPr>
      </w:pPr>
    </w:p>
    <w:p>
      <w:pPr>
        <w:spacing w:afterLines="100"/>
        <w:jc w:val="center"/>
        <w:rPr>
          <w:rFonts w:ascii="Times New Roman" w:hAnsi="Times New Roman" w:eastAsia="仿宋_GB2312" w:cs="Times New Roman"/>
          <w:b/>
          <w:spacing w:val="-20"/>
          <w:sz w:val="40"/>
          <w:szCs w:val="44"/>
        </w:rPr>
      </w:pPr>
      <w:r>
        <w:rPr>
          <w:rFonts w:ascii="Times New Roman" w:hAnsi="Times New Roman" w:eastAsia="仿宋_GB2312" w:cs="Times New Roman"/>
          <w:b/>
          <w:spacing w:val="-20"/>
          <w:sz w:val="40"/>
          <w:szCs w:val="44"/>
        </w:rPr>
        <w:t>银行办理调运外币现钞进出境业务备案表（示范文本）</w:t>
      </w:r>
    </w:p>
    <w:tbl>
      <w:tblPr>
        <w:tblW w:w="83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1391"/>
        <w:gridCol w:w="1552"/>
        <w:gridCol w:w="1231"/>
        <w:gridCol w:w="1392"/>
        <w:gridCol w:w="1393"/>
        <w:gridCol w:w="1393"/>
      </w:tblGrid>
      <w:tr>
        <w:trPr>
          <w:trHeight w:val="489" w:hRule="atLeast"/>
        </w:trPr>
        <w:tc>
          <w:tcPr>
            <w:tcW w:w="1391"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备案银行</w:t>
            </w:r>
          </w:p>
        </w:tc>
        <w:tc>
          <w:tcPr>
            <w:tcW w:w="6961" w:type="dxa"/>
            <w:gridSpan w:val="5"/>
            <w:vAlign w:val="top"/>
          </w:tcPr>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XX银行股份有限公司</w:t>
            </w:r>
          </w:p>
        </w:tc>
      </w:tr>
      <w:tr>
        <w:trPr>
          <w:trHeight w:val="708" w:hRule="atLeast"/>
        </w:trPr>
        <w:tc>
          <w:tcPr>
            <w:tcW w:w="139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统一社会</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信用代码</w:t>
            </w:r>
          </w:p>
        </w:tc>
        <w:tc>
          <w:tcPr>
            <w:tcW w:w="6961" w:type="dxa"/>
            <w:gridSpan w:val="5"/>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XXXXXXXXX</w:t>
            </w:r>
          </w:p>
        </w:tc>
      </w:tr>
      <w:tr>
        <w:tc>
          <w:tcPr>
            <w:tcW w:w="139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备案材料</w:t>
            </w:r>
          </w:p>
        </w:tc>
        <w:tc>
          <w:tcPr>
            <w:tcW w:w="6961" w:type="dxa"/>
            <w:gridSpan w:val="5"/>
            <w:vAlign w:val="top"/>
          </w:tcPr>
          <w:p>
            <w:pPr>
              <w:spacing w:beforeLines="30"/>
              <w:rPr>
                <w:rFonts w:ascii="Times New Roman" w:hAnsi="Times New Roman" w:eastAsia="仿宋_GB2312" w:cs="Times New Roman"/>
                <w:sz w:val="24"/>
                <w:szCs w:val="24"/>
              </w:rPr>
            </w:pPr>
            <w:r>
              <w:rPr>
                <w:rFonts w:ascii="Times New Roman" w:hAnsi="Times New Roman" w:eastAsia="仿宋_GB2312" w:cs="Times New Roman"/>
                <w:sz w:val="24"/>
                <w:szCs w:val="24"/>
              </w:rPr>
              <w:t>√可行性报告和业务计划书</w:t>
            </w:r>
          </w:p>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√调运外币现钞进出境业务管理制度</w:t>
            </w:r>
          </w:p>
        </w:tc>
      </w:tr>
      <w:tr>
        <w:tc>
          <w:tcPr>
            <w:tcW w:w="1391" w:type="dxa"/>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联系人员</w:t>
            </w:r>
          </w:p>
        </w:tc>
        <w:tc>
          <w:tcPr>
            <w:tcW w:w="15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职责</w:t>
            </w:r>
          </w:p>
        </w:tc>
        <w:tc>
          <w:tcPr>
            <w:tcW w:w="123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姓名</w:t>
            </w:r>
          </w:p>
        </w:tc>
        <w:tc>
          <w:tcPr>
            <w:tcW w:w="13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部门</w:t>
            </w:r>
          </w:p>
        </w:tc>
        <w:tc>
          <w:tcPr>
            <w:tcW w:w="13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职务</w:t>
            </w:r>
          </w:p>
        </w:tc>
        <w:tc>
          <w:tcPr>
            <w:tcW w:w="13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联系电话</w:t>
            </w:r>
          </w:p>
        </w:tc>
      </w:tr>
      <w:tr>
        <w:tc>
          <w:tcPr>
            <w:tcW w:w="1391" w:type="dxa"/>
            <w:vMerge w:val="continue"/>
            <w:vAlign w:val="center"/>
          </w:tcPr>
          <w:p>
            <w:pPr>
              <w:jc w:val="center"/>
              <w:rPr>
                <w:rFonts w:ascii="Times New Roman" w:hAnsi="Times New Roman" w:eastAsia="仿宋_GB2312" w:cs="Times New Roman"/>
                <w:sz w:val="24"/>
                <w:szCs w:val="24"/>
              </w:rPr>
            </w:pPr>
          </w:p>
        </w:tc>
        <w:tc>
          <w:tcPr>
            <w:tcW w:w="15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主管行长</w:t>
            </w:r>
          </w:p>
        </w:tc>
        <w:tc>
          <w:tcPr>
            <w:tcW w:w="1231" w:type="dxa"/>
            <w:vAlign w:val="top"/>
          </w:tcPr>
          <w:p>
            <w:pPr>
              <w:rPr>
                <w:rFonts w:ascii="Times New Roman" w:hAnsi="Times New Roman" w:eastAsia="仿宋_GB2312" w:cs="Times New Roman"/>
                <w:sz w:val="24"/>
                <w:szCs w:val="24"/>
              </w:rPr>
            </w:pPr>
          </w:p>
        </w:tc>
        <w:tc>
          <w:tcPr>
            <w:tcW w:w="1392" w:type="dxa"/>
            <w:vAlign w:val="top"/>
          </w:tcPr>
          <w:p>
            <w:pPr>
              <w:rPr>
                <w:rFonts w:ascii="Times New Roman" w:hAnsi="Times New Roman" w:eastAsia="仿宋_GB2312" w:cs="Times New Roman"/>
                <w:sz w:val="24"/>
                <w:szCs w:val="24"/>
              </w:rPr>
            </w:pPr>
          </w:p>
        </w:tc>
        <w:tc>
          <w:tcPr>
            <w:tcW w:w="1393" w:type="dxa"/>
            <w:vAlign w:val="top"/>
          </w:tcPr>
          <w:p>
            <w:pPr>
              <w:rPr>
                <w:rFonts w:ascii="Times New Roman" w:hAnsi="Times New Roman" w:eastAsia="仿宋_GB2312" w:cs="Times New Roman"/>
                <w:sz w:val="24"/>
                <w:szCs w:val="24"/>
              </w:rPr>
            </w:pPr>
          </w:p>
        </w:tc>
        <w:tc>
          <w:tcPr>
            <w:tcW w:w="1393" w:type="dxa"/>
            <w:vAlign w:val="top"/>
          </w:tcPr>
          <w:p>
            <w:pPr>
              <w:rPr>
                <w:rFonts w:ascii="Times New Roman" w:hAnsi="Times New Roman" w:eastAsia="仿宋_GB2312" w:cs="Times New Roman"/>
                <w:sz w:val="24"/>
                <w:szCs w:val="24"/>
              </w:rPr>
            </w:pPr>
          </w:p>
        </w:tc>
      </w:tr>
      <w:tr>
        <w:tc>
          <w:tcPr>
            <w:tcW w:w="1391" w:type="dxa"/>
            <w:vMerge w:val="continue"/>
            <w:vAlign w:val="center"/>
          </w:tcPr>
          <w:p>
            <w:pPr>
              <w:jc w:val="center"/>
              <w:rPr>
                <w:rFonts w:ascii="Times New Roman" w:hAnsi="Times New Roman" w:eastAsia="仿宋_GB2312" w:cs="Times New Roman"/>
                <w:sz w:val="24"/>
                <w:szCs w:val="24"/>
              </w:rPr>
            </w:pPr>
          </w:p>
        </w:tc>
        <w:tc>
          <w:tcPr>
            <w:tcW w:w="15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部门负责人</w:t>
            </w:r>
          </w:p>
        </w:tc>
        <w:tc>
          <w:tcPr>
            <w:tcW w:w="1231" w:type="dxa"/>
            <w:vAlign w:val="top"/>
          </w:tcPr>
          <w:p>
            <w:pPr>
              <w:rPr>
                <w:rFonts w:ascii="Times New Roman" w:hAnsi="Times New Roman" w:eastAsia="仿宋_GB2312" w:cs="Times New Roman"/>
                <w:sz w:val="24"/>
                <w:szCs w:val="24"/>
              </w:rPr>
            </w:pPr>
          </w:p>
        </w:tc>
        <w:tc>
          <w:tcPr>
            <w:tcW w:w="1392" w:type="dxa"/>
            <w:vAlign w:val="top"/>
          </w:tcPr>
          <w:p>
            <w:pPr>
              <w:rPr>
                <w:rFonts w:ascii="Times New Roman" w:hAnsi="Times New Roman" w:eastAsia="仿宋_GB2312" w:cs="Times New Roman"/>
                <w:sz w:val="24"/>
                <w:szCs w:val="24"/>
              </w:rPr>
            </w:pPr>
          </w:p>
        </w:tc>
        <w:tc>
          <w:tcPr>
            <w:tcW w:w="1393" w:type="dxa"/>
            <w:vAlign w:val="top"/>
          </w:tcPr>
          <w:p>
            <w:pPr>
              <w:rPr>
                <w:rFonts w:ascii="Times New Roman" w:hAnsi="Times New Roman" w:eastAsia="仿宋_GB2312" w:cs="Times New Roman"/>
                <w:sz w:val="24"/>
                <w:szCs w:val="24"/>
              </w:rPr>
            </w:pPr>
          </w:p>
        </w:tc>
        <w:tc>
          <w:tcPr>
            <w:tcW w:w="1393" w:type="dxa"/>
            <w:vAlign w:val="top"/>
          </w:tcPr>
          <w:p>
            <w:pPr>
              <w:rPr>
                <w:rFonts w:ascii="Times New Roman" w:hAnsi="Times New Roman" w:eastAsia="仿宋_GB2312" w:cs="Times New Roman"/>
                <w:sz w:val="24"/>
                <w:szCs w:val="24"/>
              </w:rPr>
            </w:pPr>
          </w:p>
        </w:tc>
      </w:tr>
      <w:tr>
        <w:tc>
          <w:tcPr>
            <w:tcW w:w="1391" w:type="dxa"/>
            <w:vMerge w:val="continue"/>
            <w:vAlign w:val="center"/>
          </w:tcPr>
          <w:p>
            <w:pPr>
              <w:jc w:val="center"/>
              <w:rPr>
                <w:rFonts w:ascii="Times New Roman" w:hAnsi="Times New Roman" w:eastAsia="仿宋_GB2312" w:cs="Times New Roman"/>
                <w:sz w:val="24"/>
                <w:szCs w:val="24"/>
              </w:rPr>
            </w:pPr>
          </w:p>
        </w:tc>
        <w:tc>
          <w:tcPr>
            <w:tcW w:w="15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业务联系人</w:t>
            </w:r>
          </w:p>
        </w:tc>
        <w:tc>
          <w:tcPr>
            <w:tcW w:w="1231" w:type="dxa"/>
            <w:vAlign w:val="top"/>
          </w:tcPr>
          <w:p>
            <w:pPr>
              <w:rPr>
                <w:rFonts w:ascii="Times New Roman" w:hAnsi="Times New Roman" w:eastAsia="仿宋_GB2312" w:cs="Times New Roman"/>
                <w:sz w:val="24"/>
                <w:szCs w:val="24"/>
              </w:rPr>
            </w:pPr>
          </w:p>
        </w:tc>
        <w:tc>
          <w:tcPr>
            <w:tcW w:w="1392" w:type="dxa"/>
            <w:vAlign w:val="top"/>
          </w:tcPr>
          <w:p>
            <w:pPr>
              <w:rPr>
                <w:rFonts w:ascii="Times New Roman" w:hAnsi="Times New Roman" w:eastAsia="仿宋_GB2312" w:cs="Times New Roman"/>
                <w:sz w:val="24"/>
                <w:szCs w:val="24"/>
              </w:rPr>
            </w:pPr>
          </w:p>
        </w:tc>
        <w:tc>
          <w:tcPr>
            <w:tcW w:w="1393" w:type="dxa"/>
            <w:vAlign w:val="top"/>
          </w:tcPr>
          <w:p>
            <w:pPr>
              <w:rPr>
                <w:rFonts w:ascii="Times New Roman" w:hAnsi="Times New Roman" w:eastAsia="仿宋_GB2312" w:cs="Times New Roman"/>
                <w:sz w:val="24"/>
                <w:szCs w:val="24"/>
              </w:rPr>
            </w:pPr>
          </w:p>
        </w:tc>
        <w:tc>
          <w:tcPr>
            <w:tcW w:w="1393" w:type="dxa"/>
            <w:vAlign w:val="top"/>
          </w:tcPr>
          <w:p>
            <w:pPr>
              <w:rPr>
                <w:rFonts w:ascii="Times New Roman" w:hAnsi="Times New Roman" w:eastAsia="仿宋_GB2312" w:cs="Times New Roman"/>
                <w:sz w:val="24"/>
                <w:szCs w:val="24"/>
              </w:rPr>
            </w:pPr>
          </w:p>
        </w:tc>
      </w:tr>
      <w:tr>
        <w:trPr>
          <w:trHeight w:val="1724" w:hRule="atLeast"/>
        </w:trPr>
        <w:tc>
          <w:tcPr>
            <w:tcW w:w="8352" w:type="dxa"/>
            <w:gridSpan w:val="6"/>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备案声明：</w:t>
            </w:r>
          </w:p>
          <w:p>
            <w:pPr>
              <w:ind w:firstLine="465"/>
              <w:rPr>
                <w:rFonts w:ascii="Times New Roman" w:hAnsi="Times New Roman" w:eastAsia="仿宋_GB2312" w:cs="Times New Roman"/>
                <w:sz w:val="24"/>
                <w:szCs w:val="24"/>
              </w:rPr>
            </w:pPr>
          </w:p>
          <w:p>
            <w:pPr>
              <w:ind w:firstLine="465"/>
              <w:rPr>
                <w:rFonts w:ascii="Times New Roman" w:hAnsi="Times New Roman" w:eastAsia="仿宋_GB2312" w:cs="Times New Roman"/>
                <w:sz w:val="24"/>
                <w:szCs w:val="24"/>
              </w:rPr>
            </w:pPr>
            <w:r>
              <w:rPr>
                <w:rFonts w:ascii="Times New Roman" w:hAnsi="Times New Roman" w:eastAsia="仿宋_GB2312" w:cs="Times New Roman"/>
                <w:sz w:val="24"/>
                <w:szCs w:val="24"/>
              </w:rPr>
              <w:t>以上情况全部属实，如有不真实，愿承担由此引起的法律责任。</w:t>
            </w:r>
          </w:p>
          <w:p>
            <w:pPr>
              <w:ind w:firstLine="465"/>
              <w:rPr>
                <w:rFonts w:ascii="Times New Roman" w:hAnsi="Times New Roman" w:eastAsia="仿宋_GB2312" w:cs="Times New Roman"/>
                <w:sz w:val="24"/>
                <w:szCs w:val="24"/>
              </w:rPr>
            </w:pPr>
          </w:p>
          <w:p>
            <w:pPr>
              <w:ind w:firstLine="465"/>
              <w:rPr>
                <w:rFonts w:ascii="Times New Roman" w:hAnsi="Times New Roman" w:eastAsia="仿宋_GB2312" w:cs="Times New Roman"/>
                <w:sz w:val="24"/>
                <w:szCs w:val="24"/>
              </w:rPr>
            </w:pP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备案银行签章      </w:t>
            </w:r>
          </w:p>
          <w:p>
            <w:pPr>
              <w:ind w:firstLine="465"/>
              <w:jc w:val="right"/>
              <w:rPr>
                <w:rFonts w:ascii="Times New Roman" w:hAnsi="Times New Roman" w:eastAsia="仿宋_GB2312" w:cs="Times New Roman"/>
                <w:sz w:val="24"/>
                <w:szCs w:val="24"/>
              </w:rPr>
            </w:pP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20xx年xx月xx日  </w:t>
            </w:r>
          </w:p>
        </w:tc>
      </w:tr>
      <w:tr>
        <w:tc>
          <w:tcPr>
            <w:tcW w:w="8352" w:type="dxa"/>
            <w:gridSpan w:val="6"/>
            <w:tcBorders>
              <w:bottom w:val="single" w:color="000000"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备案意见：</w:t>
            </w:r>
          </w:p>
          <w:p>
            <w:pPr>
              <w:rPr>
                <w:rFonts w:ascii="Times New Roman" w:hAnsi="Times New Roman" w:eastAsia="仿宋_GB2312" w:cs="Times New Roman"/>
                <w:sz w:val="24"/>
                <w:szCs w:val="24"/>
              </w:rPr>
            </w:pP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予以备案。自备案之日起30个工作日后你行可办理调运外币现钞进出境业务。</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你行办理调运外币现钞进出境业务，应遵照《调运外币现钞进出境管理规定》（汇发〔2019〕16号）等有关规定执行。</w:t>
            </w: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国家外汇管理局      </w:t>
            </w: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XX分局（外汇管理部）签章 </w:t>
            </w:r>
          </w:p>
          <w:p>
            <w:pPr>
              <w:ind w:right="480"/>
              <w:rPr>
                <w:rFonts w:ascii="Times New Roman" w:hAnsi="Times New Roman" w:eastAsia="仿宋_GB2312" w:cs="Times New Roman"/>
                <w:sz w:val="24"/>
                <w:szCs w:val="24"/>
              </w:rPr>
            </w:pPr>
          </w:p>
          <w:p>
            <w:pPr>
              <w:wordWrap w:val="0"/>
              <w:ind w:firstLine="480" w:firstLineChars="200"/>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年  月  日       </w:t>
            </w:r>
          </w:p>
        </w:tc>
      </w:tr>
      <w:tr>
        <w:tc>
          <w:tcPr>
            <w:tcW w:w="8352" w:type="dxa"/>
            <w:gridSpan w:val="6"/>
            <w:tcBorders>
              <w:left w:val="nil"/>
              <w:bottom w:val="nil"/>
              <w:right w:val="nil"/>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附注：</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1.本表仅适用于境内商业银行总行（或外国银行分行）。</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2.本表一式两份，分别由备案银行及其所在地外汇分局留存。</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3.备案银行名称及社会统一信用代码应与工商营业执照信息一致。</w:t>
            </w:r>
          </w:p>
        </w:tc>
      </w:tr>
    </w:tbl>
    <w:p>
      <w:pPr>
        <w:rPr>
          <w:rFonts w:ascii="Times New Roman" w:hAnsi="Times New Roman" w:cs="Times New Roman"/>
        </w:rPr>
      </w:pPr>
    </w:p>
    <w:p>
      <w:pPr>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附表2</w:t>
      </w:r>
    </w:p>
    <w:p>
      <w:pPr>
        <w:spacing w:line="360" w:lineRule="auto"/>
        <w:rPr>
          <w:rFonts w:ascii="Times New Roman" w:hAnsi="Times New Roman" w:eastAsia="仿宋_GB2312" w:cs="Times New Roman"/>
          <w:sz w:val="34"/>
          <w:szCs w:val="34"/>
        </w:rPr>
      </w:pPr>
    </w:p>
    <w:p>
      <w:pPr>
        <w:spacing w:afterLines="100"/>
        <w:jc w:val="center"/>
        <w:rPr>
          <w:rFonts w:ascii="Times New Roman" w:hAnsi="Times New Roman" w:eastAsia="仿宋_GB2312" w:cs="Times New Roman"/>
          <w:b/>
          <w:spacing w:val="-20"/>
          <w:sz w:val="40"/>
          <w:szCs w:val="44"/>
        </w:rPr>
      </w:pPr>
      <w:r>
        <w:rPr>
          <w:rFonts w:ascii="Times New Roman" w:hAnsi="Times New Roman" w:eastAsia="仿宋_GB2312" w:cs="Times New Roman"/>
          <w:b/>
          <w:spacing w:val="-20"/>
          <w:sz w:val="40"/>
          <w:szCs w:val="44"/>
        </w:rPr>
        <w:t>银行停办调运外币现钞进出境业务备案表（示范文本）</w:t>
      </w:r>
    </w:p>
    <w:tbl>
      <w:tblPr>
        <w:tblW w:w="8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1420"/>
        <w:gridCol w:w="7102"/>
      </w:tblGrid>
      <w:tr>
        <w:trPr>
          <w:trHeight w:val="631" w:hRule="atLeast"/>
        </w:trPr>
        <w:tc>
          <w:tcPr>
            <w:tcW w:w="1420"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备案银行</w:t>
            </w:r>
          </w:p>
        </w:tc>
        <w:tc>
          <w:tcPr>
            <w:tcW w:w="7102" w:type="dxa"/>
            <w:vAlign w:val="top"/>
          </w:tcPr>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XX银行股份有限公司</w:t>
            </w:r>
          </w:p>
        </w:tc>
      </w:tr>
      <w:tr>
        <w:trPr>
          <w:trHeight w:val="710" w:hRule="atLeast"/>
        </w:trPr>
        <w:tc>
          <w:tcPr>
            <w:tcW w:w="142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统一社会</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信用代码</w:t>
            </w:r>
          </w:p>
        </w:tc>
        <w:tc>
          <w:tcPr>
            <w:tcW w:w="7102"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XXXXXXXXXXXX</w:t>
            </w:r>
          </w:p>
        </w:tc>
      </w:tr>
      <w:tr>
        <w:trPr>
          <w:trHeight w:val="564" w:hRule="atLeast"/>
        </w:trPr>
        <w:tc>
          <w:tcPr>
            <w:tcW w:w="142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停办时间</w:t>
            </w:r>
          </w:p>
        </w:tc>
        <w:tc>
          <w:tcPr>
            <w:tcW w:w="7102" w:type="dxa"/>
            <w:vAlign w:val="top"/>
          </w:tcPr>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20xx年x月xx日</w:t>
            </w:r>
          </w:p>
        </w:tc>
      </w:tr>
      <w:tr>
        <w:trPr>
          <w:trHeight w:val="4371" w:hRule="atLeast"/>
        </w:trPr>
        <w:tc>
          <w:tcPr>
            <w:tcW w:w="142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停办原因</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说明</w:t>
            </w:r>
          </w:p>
        </w:tc>
        <w:tc>
          <w:tcPr>
            <w:tcW w:w="7102" w:type="dxa"/>
            <w:vAlign w:val="center"/>
          </w:tcPr>
          <w:p>
            <w:pPr>
              <w:rPr>
                <w:rFonts w:ascii="Times New Roman" w:hAnsi="Times New Roman" w:eastAsia="仿宋_GB2312" w:cs="Times New Roman"/>
                <w:sz w:val="24"/>
                <w:szCs w:val="24"/>
              </w:rPr>
            </w:pPr>
          </w:p>
        </w:tc>
      </w:tr>
      <w:tr>
        <w:trPr>
          <w:trHeight w:val="3244" w:hRule="atLeast"/>
        </w:trPr>
        <w:tc>
          <w:tcPr>
            <w:tcW w:w="8522" w:type="dxa"/>
            <w:gridSpan w:val="2"/>
            <w:vAlign w:val="top"/>
          </w:tcPr>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r>
              <w:rPr>
                <w:rFonts w:ascii="Times New Roman" w:hAnsi="Times New Roman" w:eastAsia="仿宋_GB2312" w:cs="Times New Roman"/>
                <w:sz w:val="24"/>
                <w:szCs w:val="24"/>
              </w:rPr>
              <w:t>备案声明：</w:t>
            </w:r>
          </w:p>
          <w:p>
            <w:pPr>
              <w:rPr>
                <w:rFonts w:ascii="Times New Roman" w:hAnsi="Times New Roman" w:eastAsia="仿宋_GB2312" w:cs="Times New Roman"/>
                <w:sz w:val="24"/>
                <w:szCs w:val="24"/>
              </w:rPr>
            </w:pPr>
          </w:p>
          <w:p>
            <w:pPr>
              <w:ind w:firstLine="465"/>
              <w:rPr>
                <w:rFonts w:ascii="Times New Roman" w:hAnsi="Times New Roman" w:eastAsia="仿宋_GB2312" w:cs="Times New Roman"/>
                <w:sz w:val="24"/>
                <w:szCs w:val="24"/>
              </w:rPr>
            </w:pPr>
            <w:r>
              <w:rPr>
                <w:rFonts w:ascii="Times New Roman" w:hAnsi="Times New Roman" w:eastAsia="仿宋_GB2312" w:cs="Times New Roman"/>
                <w:sz w:val="24"/>
                <w:szCs w:val="24"/>
              </w:rPr>
              <w:t>以上情况全部属实，如有不真实，愿承担由此引起的法律责任。</w:t>
            </w:r>
          </w:p>
          <w:p>
            <w:pPr>
              <w:ind w:firstLine="465"/>
              <w:rPr>
                <w:rFonts w:ascii="Times New Roman" w:hAnsi="Times New Roman" w:eastAsia="仿宋_GB2312" w:cs="Times New Roman"/>
                <w:sz w:val="24"/>
                <w:szCs w:val="24"/>
              </w:rPr>
            </w:pPr>
          </w:p>
          <w:p>
            <w:pPr>
              <w:ind w:firstLine="465"/>
              <w:rPr>
                <w:rFonts w:ascii="Times New Roman" w:hAnsi="Times New Roman" w:eastAsia="仿宋_GB2312" w:cs="Times New Roman"/>
                <w:sz w:val="24"/>
                <w:szCs w:val="24"/>
              </w:rPr>
            </w:pPr>
          </w:p>
          <w:p>
            <w:pPr>
              <w:ind w:firstLine="465"/>
              <w:rPr>
                <w:rFonts w:ascii="Times New Roman" w:hAnsi="Times New Roman" w:eastAsia="仿宋_GB2312" w:cs="Times New Roman"/>
                <w:sz w:val="24"/>
                <w:szCs w:val="24"/>
              </w:rPr>
            </w:pP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备案银行签章      </w:t>
            </w:r>
          </w:p>
          <w:p>
            <w:pPr>
              <w:ind w:firstLine="465"/>
              <w:jc w:val="right"/>
              <w:rPr>
                <w:rFonts w:ascii="Times New Roman" w:hAnsi="Times New Roman" w:eastAsia="仿宋_GB2312" w:cs="Times New Roman"/>
                <w:sz w:val="24"/>
                <w:szCs w:val="24"/>
              </w:rPr>
            </w:pP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20xx年xx月xx日    </w:t>
            </w:r>
          </w:p>
        </w:tc>
      </w:tr>
      <w:tr>
        <w:tc>
          <w:tcPr>
            <w:tcW w:w="8522" w:type="dxa"/>
            <w:gridSpan w:val="2"/>
            <w:tcBorders>
              <w:left w:val="nil"/>
              <w:bottom w:val="nil"/>
              <w:right w:val="nil"/>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附注：</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1.本表仅适用于境内商业银行总行（或外国银行分行）。</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2.备案银行名称及社会统一信用代码应与工商营业执照信息一致。</w:t>
            </w:r>
          </w:p>
        </w:tc>
      </w:tr>
    </w:tbl>
    <w:p>
      <w:pPr>
        <w:rPr>
          <w:rFonts w:ascii="Times New Roman" w:hAnsi="Times New Roman" w:eastAsia="仿宋_GB2312" w:cs="Times New Roman"/>
          <w:sz w:val="30"/>
          <w:szCs w:val="30"/>
        </w:rPr>
      </w:pPr>
      <w:r>
        <w:rPr>
          <w:rFonts w:ascii="Times New Roman" w:hAnsi="Times New Roman" w:eastAsia="仿宋_GB2312" w:cs="Times New Roman"/>
          <w:sz w:val="24"/>
          <w:szCs w:val="24"/>
        </w:rPr>
        <w:t>3.“停办时间”是指正式停止办理调运外币现钞进出境业务的日期。</w:t>
      </w:r>
    </w:p>
    <w:sectPr>
      <w:footerReference r:id="rId6"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0000000000000000000"/>
    <w:charset w:val="86"/>
    <w:family w:val="auto"/>
    <w:pitch w:val="default"/>
    <w:sig w:usb0="00000000" w:usb1="080E0000" w:usb2="00000000" w:usb3="00000000" w:csb0="00040000" w:csb1="00000000"/>
  </w:font>
  <w:font w:name="ˎ̥">
    <w:altName w:val="Segoe Print"/>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7</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iPriority="0" w:semiHidden="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iPriority="0" w:semiHidden="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uiPriority="0" w:name="annotation subject"/>
    <w:lsdException w:qFormat="1"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0"/>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1"/>
    <w:qFormat/>
    <w:uiPriority w:val="9"/>
    <w:pPr>
      <w:keepNext/>
      <w:keepLines/>
      <w:spacing w:before="260" w:after="260" w:line="416" w:lineRule="auto"/>
      <w:outlineLvl w:val="1"/>
    </w:pPr>
    <w:rPr>
      <w:rFonts w:ascii="Cambria" w:hAnsi="Cambria" w:cs="Times New Roman"/>
      <w:b/>
      <w:bCs/>
      <w:sz w:val="32"/>
      <w:szCs w:val="32"/>
    </w:rPr>
  </w:style>
  <w:style w:type="paragraph" w:styleId="4">
    <w:name w:val="heading 3"/>
    <w:basedOn w:val="1"/>
    <w:next w:val="1"/>
    <w:link w:val="32"/>
    <w:qFormat/>
    <w:uiPriority w:val="9"/>
    <w:pPr>
      <w:ind w:right="300"/>
      <w:outlineLvl w:val="2"/>
    </w:pPr>
    <w:rPr>
      <w:rFonts w:ascii="仿宋_GB2312" w:eastAsia="仿宋_GB2312" w:cs="Times New Roman"/>
      <w:sz w:val="30"/>
      <w:szCs w:val="30"/>
    </w:rPr>
  </w:style>
  <w:style w:type="character" w:default="1" w:styleId="12">
    <w:name w:val="Default Paragraph Font"/>
    <w:semiHidden/>
    <w:unhideWhenUsed/>
    <w:uiPriority w:val="1"/>
  </w:style>
  <w:style w:type="paragraph" w:styleId="5">
    <w:name w:val="Document Map"/>
    <w:basedOn w:val="1"/>
    <w:link w:val="35"/>
    <w:unhideWhenUsed/>
    <w:qFormat/>
    <w:uiPriority w:val="0"/>
    <w:rPr>
      <w:rFonts w:ascii="宋体"/>
      <w:sz w:val="18"/>
      <w:szCs w:val="18"/>
    </w:rPr>
  </w:style>
  <w:style w:type="paragraph" w:styleId="6">
    <w:name w:val="annotation text"/>
    <w:basedOn w:val="1"/>
    <w:link w:val="29"/>
    <w:unhideWhenUsed/>
    <w:qFormat/>
    <w:uiPriority w:val="99"/>
    <w:pPr>
      <w:jc w:val="left"/>
    </w:pPr>
    <w:rPr>
      <w:rFonts w:cs="Times New Roman"/>
    </w:rPr>
  </w:style>
  <w:style w:type="paragraph" w:styleId="7">
    <w:name w:val="Balloon Text"/>
    <w:basedOn w:val="1"/>
    <w:link w:val="27"/>
    <w:unhideWhenUsed/>
    <w:qFormat/>
    <w:uiPriority w:val="0"/>
    <w:rPr>
      <w:sz w:val="18"/>
      <w:szCs w:val="18"/>
    </w:rPr>
  </w:style>
  <w:style w:type="paragraph" w:styleId="8">
    <w:name w:val="footer"/>
    <w:basedOn w:val="1"/>
    <w:link w:val="26"/>
    <w:unhideWhenUsed/>
    <w:uiPriority w:val="99"/>
    <w:pPr>
      <w:tabs>
        <w:tab w:val="center" w:pos="4153"/>
        <w:tab w:val="right" w:pos="8306"/>
      </w:tabs>
      <w:snapToGrid w:val="0"/>
      <w:jc w:val="left"/>
    </w:pPr>
    <w:rPr>
      <w:sz w:val="18"/>
      <w:szCs w:val="18"/>
    </w:rPr>
  </w:style>
  <w:style w:type="paragraph" w:styleId="9">
    <w:name w:val="header"/>
    <w:basedOn w:val="1"/>
    <w:link w:val="25"/>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3"/>
    <w:semiHidden/>
    <w:qFormat/>
    <w:uiPriority w:val="0"/>
    <w:pPr>
      <w:snapToGrid w:val="0"/>
      <w:jc w:val="left"/>
    </w:pPr>
    <w:rPr>
      <w:kern w:val="2"/>
      <w:sz w:val="18"/>
      <w:szCs w:val="18"/>
    </w:rPr>
  </w:style>
  <w:style w:type="character" w:customStyle="1" w:styleId="11">
    <w:name w:val="脚注文本 Char"/>
    <w:basedOn w:val="12"/>
    <w:semiHidden/>
    <w:qFormat/>
    <w:uiPriority w:val="99"/>
    <w:rPr>
      <w:kern w:val="2"/>
      <w:sz w:val="18"/>
      <w:szCs w:val="18"/>
    </w:rPr>
  </w:style>
  <w:style w:type="paragraph" w:styleId="13">
    <w:name w:val="HTML Preformatted"/>
    <w:basedOn w:val="1"/>
    <w:link w:val="28"/>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4">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15">
    <w:name w:val="Hyperlink"/>
    <w:basedOn w:val="12"/>
    <w:unhideWhenUsed/>
    <w:qFormat/>
    <w:uiPriority w:val="99"/>
    <w:rPr>
      <w:rFonts w:hint="default" w:ascii="ˎ̥" w:hAnsi="ˎ̥"/>
      <w:color w:val="0453CC"/>
      <w:sz w:val="20"/>
      <w:szCs w:val="20"/>
      <w:u w:val="none"/>
    </w:rPr>
  </w:style>
  <w:style w:type="character" w:styleId="16">
    <w:name w:val="annotation reference"/>
    <w:basedOn w:val="12"/>
    <w:semiHidden/>
    <w:unhideWhenUsed/>
    <w:qFormat/>
    <w:uiPriority w:val="0"/>
    <w:rPr>
      <w:sz w:val="21"/>
      <w:szCs w:val="21"/>
    </w:rPr>
  </w:style>
  <w:style w:type="character" w:styleId="17">
    <w:name w:val="footnote reference"/>
    <w:unhideWhenUsed/>
    <w:qFormat/>
    <w:uiPriority w:val="0"/>
    <w:rPr>
      <w:rFonts w:ascii="Times New Roman" w:hAnsi="Times New Roman" w:cs="Times New Roman"/>
      <w:vertAlign w:val="superscript"/>
    </w:rPr>
  </w:style>
  <w:style w:type="paragraph" w:customStyle="1" w:styleId="18">
    <w:name w:val="列出段落1"/>
    <w:basedOn w:val="1"/>
    <w:qFormat/>
    <w:uiPriority w:val="34"/>
    <w:pPr>
      <w:ind w:firstLine="420" w:firstLineChars="200"/>
    </w:pPr>
    <w:rPr>
      <w:rFonts w:cs="Times New Roman"/>
    </w:rPr>
  </w:style>
  <w:style w:type="paragraph" w:customStyle="1" w:styleId="19">
    <w:name w:val="Default"/>
    <w:qFormat/>
    <w:uiPriority w:val="99"/>
    <w:pPr>
      <w:widowControl w:val="0"/>
      <w:autoSpaceDE w:val="0"/>
      <w:autoSpaceDN w:val="0"/>
      <w:adjustRightInd w:val="0"/>
    </w:pPr>
    <w:rPr>
      <w:rFonts w:ascii="仿宋_GB2312" w:hAnsi="Calibri" w:eastAsia="仿宋_GB2312" w:cs="仿宋_GB2312"/>
      <w:color w:val="000000"/>
      <w:sz w:val="24"/>
      <w:szCs w:val="24"/>
    </w:rPr>
  </w:style>
  <w:style w:type="paragraph" w:customStyle="1" w:styleId="20">
    <w:name w:val="juzhong"/>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1">
    <w:name w:val="修订1"/>
    <w:hidden/>
    <w:semiHidden/>
    <w:qFormat/>
    <w:uiPriority w:val="99"/>
    <w:rPr>
      <w:rFonts w:ascii="Calibri" w:hAnsi="Calibri" w:cs="黑体"/>
      <w:kern w:val="2"/>
      <w:sz w:val="21"/>
      <w:szCs w:val="22"/>
    </w:rPr>
  </w:style>
  <w:style w:type="paragraph" w:customStyle="1" w:styleId="22">
    <w:name w:val="列出段落4"/>
    <w:basedOn w:val="1"/>
    <w:qFormat/>
    <w:uiPriority w:val="0"/>
    <w:pPr>
      <w:ind w:firstLine="200" w:firstLineChars="200"/>
    </w:pPr>
    <w:rPr>
      <w:rFonts w:cs="Times New Roman"/>
    </w:rPr>
  </w:style>
  <w:style w:type="paragraph" w:customStyle="1" w:styleId="23">
    <w:name w:val="列出段落3"/>
    <w:basedOn w:val="1"/>
    <w:qFormat/>
    <w:uiPriority w:val="0"/>
    <w:pPr>
      <w:ind w:firstLine="420" w:firstLineChars="200"/>
    </w:pPr>
    <w:rPr>
      <w:rFonts w:ascii="Times New Roman" w:hAnsi="Times New Roman" w:cs="Times New Roman"/>
      <w:szCs w:val="24"/>
    </w:rPr>
  </w:style>
  <w:style w:type="paragraph" w:customStyle="1" w:styleId="24">
    <w:name w:val="p0"/>
    <w:basedOn w:val="1"/>
    <w:qFormat/>
    <w:uiPriority w:val="0"/>
    <w:pPr>
      <w:widowControl/>
    </w:pPr>
    <w:rPr>
      <w:rFonts w:cs="宋体"/>
      <w:kern w:val="0"/>
      <w:szCs w:val="21"/>
    </w:rPr>
  </w:style>
  <w:style w:type="character" w:customStyle="1" w:styleId="25">
    <w:name w:val="页眉 Char Char"/>
    <w:basedOn w:val="12"/>
    <w:link w:val="9"/>
    <w:uiPriority w:val="99"/>
    <w:rPr>
      <w:sz w:val="18"/>
      <w:szCs w:val="18"/>
    </w:rPr>
  </w:style>
  <w:style w:type="character" w:customStyle="1" w:styleId="26">
    <w:name w:val="页脚 Char Char"/>
    <w:basedOn w:val="12"/>
    <w:link w:val="8"/>
    <w:uiPriority w:val="99"/>
    <w:rPr>
      <w:sz w:val="18"/>
      <w:szCs w:val="18"/>
    </w:rPr>
  </w:style>
  <w:style w:type="character" w:customStyle="1" w:styleId="27">
    <w:name w:val="批注框文本 Char Char"/>
    <w:basedOn w:val="12"/>
    <w:link w:val="7"/>
    <w:uiPriority w:val="0"/>
    <w:rPr>
      <w:sz w:val="18"/>
      <w:szCs w:val="18"/>
    </w:rPr>
  </w:style>
  <w:style w:type="character" w:customStyle="1" w:styleId="28">
    <w:name w:val="HTML 预设格式 Char Char"/>
    <w:basedOn w:val="12"/>
    <w:link w:val="13"/>
    <w:uiPriority w:val="99"/>
    <w:rPr>
      <w:rFonts w:ascii="宋体" w:hAnsi="宋体" w:eastAsia="宋体" w:cs="宋体"/>
      <w:kern w:val="0"/>
      <w:sz w:val="24"/>
      <w:szCs w:val="24"/>
    </w:rPr>
  </w:style>
  <w:style w:type="character" w:customStyle="1" w:styleId="29">
    <w:name w:val="批注文字 Char Char"/>
    <w:basedOn w:val="12"/>
    <w:link w:val="6"/>
    <w:uiPriority w:val="0"/>
    <w:rPr>
      <w:rFonts w:ascii="Calibri" w:hAnsi="Calibri" w:eastAsia="宋体" w:cs="Times New Roman"/>
    </w:rPr>
  </w:style>
  <w:style w:type="character" w:customStyle="1" w:styleId="30">
    <w:name w:val="标题 1 Char Char"/>
    <w:basedOn w:val="12"/>
    <w:link w:val="2"/>
    <w:uiPriority w:val="9"/>
    <w:rPr>
      <w:rFonts w:ascii="黑体" w:hAnsi="黑体" w:eastAsia="黑体" w:cs="宋体"/>
      <w:color w:val="000000"/>
      <w:kern w:val="0"/>
      <w:sz w:val="30"/>
      <w:szCs w:val="30"/>
    </w:rPr>
  </w:style>
  <w:style w:type="character" w:customStyle="1" w:styleId="31">
    <w:name w:val="标题 2 Char Char"/>
    <w:basedOn w:val="12"/>
    <w:link w:val="3"/>
    <w:uiPriority w:val="0"/>
    <w:rPr>
      <w:rFonts w:ascii="Cambria" w:hAnsi="Cambria" w:eastAsia="宋体" w:cs="Times New Roman"/>
      <w:b/>
      <w:bCs/>
      <w:sz w:val="32"/>
      <w:szCs w:val="32"/>
    </w:rPr>
  </w:style>
  <w:style w:type="character" w:customStyle="1" w:styleId="32">
    <w:name w:val="标题 3 Char Char"/>
    <w:basedOn w:val="12"/>
    <w:link w:val="4"/>
    <w:uiPriority w:val="9"/>
    <w:rPr>
      <w:rFonts w:ascii="仿宋_GB2312" w:hAnsi="Calibri" w:eastAsia="仿宋_GB2312" w:cs="Times New Roman"/>
      <w:sz w:val="30"/>
      <w:szCs w:val="30"/>
    </w:rPr>
  </w:style>
  <w:style w:type="character" w:customStyle="1" w:styleId="33">
    <w:name w:val="脚注文本 Char1"/>
    <w:basedOn w:val="12"/>
    <w:link w:val="10"/>
    <w:uiPriority w:val="0"/>
    <w:rPr>
      <w:rFonts w:ascii="Times New Roman" w:hAnsi="Times New Roman"/>
      <w:sz w:val="18"/>
      <w:szCs w:val="18"/>
    </w:rPr>
  </w:style>
  <w:style w:type="character" w:customStyle="1" w:styleId="34">
    <w:name w:val="标题 4 Char Char"/>
    <w:qFormat/>
    <w:uiPriority w:val="0"/>
    <w:rPr>
      <w:rFonts w:ascii="Calibri" w:hAnsi="Calibri"/>
      <w:b/>
      <w:bCs/>
      <w:sz w:val="28"/>
      <w:szCs w:val="28"/>
      <w:lang w:eastAsia="en-US" w:bidi="en-US"/>
    </w:rPr>
  </w:style>
  <w:style w:type="character" w:customStyle="1" w:styleId="35">
    <w:name w:val="文档结构图 Char Char"/>
    <w:basedOn w:val="12"/>
    <w:link w:val="5"/>
    <w:uiPriority w:val="0"/>
    <w:rPr>
      <w:rFonts w:ascii="宋体"/>
      <w:sz w:val="18"/>
      <w:szCs w:val="18"/>
    </w:rPr>
  </w:style>
  <w:style w:type="character" w:customStyle="1" w:styleId="36">
    <w:name w:val="批注文字 Char1"/>
    <w:basedOn w:val="12"/>
    <w:semiHidden/>
    <w:qFormat/>
    <w:uiPriority w:val="99"/>
    <w:rPr>
      <w:kern w:val="2"/>
      <w:sz w:val="21"/>
      <w:szCs w:val="22"/>
    </w:rPr>
  </w:style>
  <w:style w:type="character" w:customStyle="1" w:styleId="37">
    <w:name w:val="明显强调1"/>
    <w:basedOn w:val="12"/>
    <w:qFormat/>
    <w:uiPriority w:val="21"/>
    <w:rPr>
      <w:b/>
      <w:bCs/>
      <w:i/>
      <w:iCs/>
      <w:color w:val="4F81BD"/>
    </w:rPr>
  </w:style>
  <w:style w:type="character" w:customStyle="1" w:styleId="38">
    <w:name w:val="文档结构图 Char1"/>
    <w:basedOn w:val="12"/>
    <w:semiHidden/>
    <w:qFormat/>
    <w:uiPriority w:val="99"/>
    <w:rPr>
      <w:rFonts w:ascii="宋体" w:eastAsia="宋体"/>
      <w:sz w:val="18"/>
      <w:szCs w:val="18"/>
    </w:rPr>
  </w:style>
  <w:style w:type="character" w:customStyle="1" w:styleId="39">
    <w:name w:val="脚注文本 Char2"/>
    <w:basedOn w:val="12"/>
    <w:semiHidden/>
    <w:qFormat/>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theme" Target="theme/theme1.xml"/><Relationship Id="rId8" Type="http://schemas.openxmlformats.org/officeDocument/2006/relationships/image" Target="media/image1.jpeg"/><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447</Words>
  <Characters>2552</Characters>
  <Lines>21</Lines>
  <Paragraphs>5</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2020-02-27T03:28:00Z</dcterms:created>
  <dc:creator>裴建君2</dc:creator>
  <cp:lastModifiedBy>pc</cp:lastModifiedBy>
  <cp:lastPrinted>2019-06-11T06:57:00Z</cp:lastPrinted>
  <dcterms:modified xsi:type="dcterms:W3CDTF">2021-04-23T04:35:46Z</dcterms:modified>
  <dc:title>编号：57016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