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jc w:val="left"/>
        <w:rPr>
          <w:rFonts w:ascii="Times New Roman" w:hAnsi="Times New Roman" w:eastAsia="黑体" w:cs="Times New Roman"/>
          <w:sz w:val="48"/>
          <w:szCs w:val="48"/>
        </w:rPr>
      </w:pPr>
      <w:r>
        <w:rPr>
          <w:rFonts w:ascii="Times New Roman" w:hAnsi="Times New Roman" w:eastAsia="黑体" w:cs="Times New Roman"/>
          <w:sz w:val="48"/>
          <w:szCs w:val="48"/>
        </w:rPr>
        <w:drawing>
          <wp:anchor distT="0" distB="0" distL="114300" distR="114300" simplePos="0" relativeHeight="251660288" behindDoc="0" locked="0" layoutInCell="1" allowOverlap="1">
            <wp:simplePos x="0" y="0"/>
            <wp:positionH relativeFrom="column">
              <wp:posOffset>4100195</wp:posOffset>
            </wp:positionH>
            <wp:positionV relativeFrom="paragraph">
              <wp:posOffset>41275</wp:posOffset>
            </wp:positionV>
            <wp:extent cx="1104900" cy="885825"/>
            <wp:effectExtent l="0" t="0" r="0" b="9525"/>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2"/>
                    <a:stretch>
                      <a:fillRect/>
                    </a:stretch>
                  </pic:blipFill>
                  <pic:spPr>
                    <a:xfrm>
                      <a:off x="0" y="0"/>
                      <a:ext cx="1104900" cy="885825"/>
                    </a:xfrm>
                    <a:prstGeom prst="rect">
                      <a:avLst/>
                    </a:prstGeom>
                    <a:noFill/>
                    <a:ln>
                      <a:noFill/>
                    </a:ln>
                  </pic:spPr>
                </pic:pic>
              </a:graphicData>
            </a:graphic>
          </wp:anchor>
        </w:drawing>
      </w:r>
    </w:p>
    <w:p>
      <w:pPr>
        <w:ind w:right="300"/>
        <w:jc w:val="left"/>
        <w:rPr>
          <w:rFonts w:ascii="Times New Roman" w:hAnsi="Times New Roman" w:eastAsia="黑体" w:cs="Times New Roman"/>
          <w:sz w:val="48"/>
          <w:szCs w:val="48"/>
        </w:rPr>
      </w:pPr>
      <w:r>
        <w:rPr>
          <w:rFonts w:ascii="Times New Roman" w:hAnsi="Times New Roman" w:eastAsia="黑体" w:cs="Times New Roman"/>
          <w:sz w:val="48"/>
          <w:szCs w:val="48"/>
        </w:rPr>
        <w:t>编号：</w:t>
      </w:r>
      <w:bookmarkStart w:id="6" w:name="_GoBack"/>
      <w:r>
        <w:rPr>
          <w:rFonts w:ascii="Times New Roman" w:hAnsi="Times New Roman" w:eastAsia="黑体" w:cs="Times New Roman"/>
          <w:sz w:val="48"/>
          <w:szCs w:val="48"/>
        </w:rPr>
        <w:t>000171114002</w:t>
      </w:r>
      <w:bookmarkEnd w:id="6"/>
      <w:r>
        <w:rPr>
          <w:rFonts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r>
        <w:rPr>
          <w:rFonts w:hint="eastAsia" w:ascii="Times New Roman" w:hAnsi="Times New Roman" w:eastAsia="黑体" w:cs="Times New Roman"/>
          <w:sz w:val="52"/>
          <w:szCs w:val="52"/>
          <w:lang w:eastAsia="zh-CN"/>
        </w:rPr>
        <w:t>“</w:t>
      </w:r>
      <w:r>
        <w:rPr>
          <w:rFonts w:ascii="Times New Roman" w:hAnsi="Times New Roman" w:eastAsia="黑体" w:cs="Times New Roman"/>
          <w:sz w:val="52"/>
          <w:szCs w:val="52"/>
        </w:rPr>
        <w:t>银行资本金（营运资金）本外币转换核准</w:t>
      </w:r>
      <w:r>
        <w:rPr>
          <w:rFonts w:hint="eastAsia" w:ascii="Times New Roman" w:hAnsi="Times New Roman" w:eastAsia="黑体" w:cs="Times New Roman"/>
          <w:sz w:val="52"/>
          <w:szCs w:val="52"/>
          <w:lang w:eastAsia="zh-CN"/>
        </w:rPr>
        <w:t>”</w:t>
      </w: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rPr>
        <w:t>江苏省分局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pPr>
    </w:p>
    <w:p>
      <w:pPr>
        <w:ind w:right="300"/>
        <w:jc w:val="left"/>
        <w:rPr>
          <w:rFonts w:ascii="Times New Roman" w:hAnsi="Times New Roman" w:eastAsia="黑体" w:cs="Times New Roman"/>
          <w:sz w:val="48"/>
          <w:szCs w:val="48"/>
        </w:rPr>
        <w:sectPr>
          <w:footerReference r:id="rId9" w:type="default"/>
          <w:type w:val="continuous"/>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bookmarkStart w:id="0" w:name="_Toc18195742"/>
      <w:r>
        <w:rPr>
          <w:rFonts w:ascii="Times New Roman" w:hAnsi="Times New Roman" w:eastAsia="仿宋_GB2312" w:cs="Times New Roman"/>
          <w:sz w:val="30"/>
          <w:szCs w:val="30"/>
        </w:rPr>
        <w:t>1.行政许可事项名称及编码</w:t>
      </w:r>
      <w:bookmarkEnd w:id="0"/>
    </w:p>
    <w:p>
      <w:pPr>
        <w:adjustRightInd w:val="0"/>
        <w:snapToGrid w:val="0"/>
        <w:spacing w:line="360" w:lineRule="auto"/>
        <w:ind w:firstLine="585"/>
        <w:jc w:val="left"/>
        <w:rPr>
          <w:rFonts w:ascii="Times New Roman" w:hAnsi="Times New Roman" w:eastAsia="仿宋_GB2312" w:cs="Times New Roman"/>
          <w:sz w:val="30"/>
          <w:szCs w:val="30"/>
        </w:rPr>
      </w:pPr>
      <w:bookmarkStart w:id="1" w:name="_Toc1456866541"/>
      <w:r>
        <w:rPr>
          <w:rFonts w:ascii="Times New Roman" w:hAnsi="Times New Roman" w:eastAsia="仿宋_GB2312" w:cs="Times New Roman"/>
          <w:sz w:val="30"/>
          <w:szCs w:val="30"/>
        </w:rPr>
        <w:t>金融机构本外币转换核准【00017111400Y】</w:t>
      </w:r>
      <w:bookmarkEnd w:id="1"/>
    </w:p>
    <w:p>
      <w:pPr>
        <w:adjustRightInd w:val="0"/>
        <w:snapToGrid w:val="0"/>
        <w:spacing w:line="360" w:lineRule="auto"/>
        <w:ind w:firstLine="585"/>
        <w:jc w:val="left"/>
        <w:rPr>
          <w:rFonts w:ascii="Times New Roman" w:hAnsi="Times New Roman" w:eastAsia="仿宋_GB2312" w:cs="Times New Roman"/>
          <w:sz w:val="30"/>
          <w:szCs w:val="30"/>
        </w:rPr>
      </w:pPr>
      <w:bookmarkStart w:id="2" w:name="_Toc787818367"/>
      <w:r>
        <w:rPr>
          <w:rFonts w:ascii="Times New Roman" w:hAnsi="Times New Roman" w:eastAsia="仿宋_GB2312" w:cs="Times New Roman"/>
          <w:sz w:val="30"/>
          <w:szCs w:val="30"/>
        </w:rPr>
        <w:t>2.行政许可事项子项名称及编码</w:t>
      </w:r>
      <w:bookmarkEnd w:id="2"/>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银行资本金（营运资金）本外币转换核准【000171114002】</w:t>
      </w:r>
    </w:p>
    <w:p>
      <w:pPr>
        <w:adjustRightInd w:val="0"/>
        <w:snapToGrid w:val="0"/>
        <w:spacing w:line="360" w:lineRule="auto"/>
        <w:ind w:firstLine="585"/>
        <w:jc w:val="left"/>
        <w:rPr>
          <w:rFonts w:ascii="Times New Roman" w:hAnsi="Times New Roman" w:eastAsia="仿宋_GB2312" w:cs="Times New Roman"/>
          <w:sz w:val="30"/>
          <w:szCs w:val="30"/>
        </w:rPr>
      </w:pPr>
      <w:bookmarkStart w:id="3" w:name="_Toc329574846"/>
      <w:r>
        <w:rPr>
          <w:rFonts w:ascii="Times New Roman" w:hAnsi="Times New Roman" w:eastAsia="仿宋_GB2312" w:cs="Times New Roman"/>
          <w:sz w:val="30"/>
          <w:szCs w:val="30"/>
        </w:rPr>
        <w:t>3.行政许可事项业务办理项名称及编码</w:t>
      </w:r>
      <w:bookmarkEnd w:id="3"/>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银行资本金（营运资金）本外币转换核准（00017111400201）</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本指南适用于“银行资本金（或营运资金）本外币转换核准”的申请和办理。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《中华人民共和国外汇管理条例》（国务院令第532号）第二十六条：“金融机构的资本金、利润以及因本外币资产不匹配需要进行人民币与外币间转换的，应当经外汇管理机关批准”。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adjustRightInd w:val="0"/>
        <w:snapToGrid w:val="0"/>
        <w:spacing w:line="360" w:lineRule="auto"/>
        <w:ind w:firstLine="585"/>
        <w:rPr>
          <w:rFonts w:ascii="Times New Roman" w:hAnsi="Times New Roman" w:eastAsia="仿宋_GB2312" w:cs="Times New Roman"/>
          <w:sz w:val="30"/>
          <w:szCs w:val="30"/>
        </w:rPr>
      </w:pPr>
      <w:bookmarkStart w:id="4" w:name="_Toc1850584849"/>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《银行办理结售汇业务管理办法实施细则》（汇发〔2014〕53号文印发）</w:t>
      </w:r>
      <w:bookmarkEnd w:id="4"/>
      <w:r>
        <w:rPr>
          <w:rFonts w:ascii="Times New Roman" w:hAnsi="Times New Roman" w:eastAsia="仿宋_GB2312" w:cs="Times New Roman"/>
          <w:sz w:val="30"/>
          <w:szCs w:val="30"/>
        </w:rPr>
        <w:t>第二十五条</w:t>
      </w:r>
    </w:p>
    <w:p>
      <w:pPr>
        <w:adjustRightInd w:val="0"/>
        <w:snapToGrid w:val="0"/>
        <w:spacing w:line="360" w:lineRule="auto"/>
        <w:ind w:firstLine="585"/>
        <w:rPr>
          <w:rFonts w:ascii="Times New Roman" w:hAnsi="Times New Roman" w:eastAsia="仿宋_GB2312" w:cs="Times New Roman"/>
          <w:sz w:val="30"/>
          <w:szCs w:val="30"/>
        </w:rPr>
      </w:pPr>
      <w:bookmarkStart w:id="5" w:name="_Toc1435958548"/>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《国家外汇管理局行政许可实施办法》（国家外汇管理局公告2021年第1号）</w:t>
      </w:r>
      <w:bookmarkEnd w:id="5"/>
      <w:r>
        <w:rPr>
          <w:rFonts w:ascii="Times New Roman" w:hAnsi="Times New Roman" w:eastAsia="仿宋_GB2312" w:cs="Times New Roman"/>
          <w:sz w:val="30"/>
          <w:szCs w:val="30"/>
        </w:rPr>
        <w:t>全文</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五、</w:t>
      </w:r>
      <w:r>
        <w:rPr>
          <w:rFonts w:ascii="Times New Roman" w:hAnsi="Times New Roman" w:eastAsia="黑体" w:cs="Times New Roman"/>
          <w:sz w:val="30"/>
          <w:szCs w:val="30"/>
        </w:rPr>
        <w:t>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六、</w:t>
      </w:r>
      <w:r>
        <w:rPr>
          <w:rFonts w:ascii="Times New Roman" w:hAnsi="Times New Roman" w:eastAsia="黑体" w:cs="Times New Roman"/>
          <w:sz w:val="30"/>
          <w:szCs w:val="30"/>
        </w:rPr>
        <w:t>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七、</w:t>
      </w:r>
      <w:r>
        <w:rPr>
          <w:rFonts w:ascii="Times New Roman" w:hAnsi="Times New Roman" w:eastAsia="黑体" w:cs="Times New Roman"/>
          <w:sz w:val="30"/>
          <w:szCs w:val="30"/>
        </w:rPr>
        <w:t>审批数量</w:t>
      </w:r>
    </w:p>
    <w:p>
      <w:pPr>
        <w:adjustRightInd w:val="0"/>
        <w:snapToGrid w:val="0"/>
        <w:spacing w:line="360" w:lineRule="auto"/>
        <w:ind w:firstLine="600" w:firstLineChars="20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无数量限制</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八、</w:t>
      </w:r>
      <w:r>
        <w:rPr>
          <w:rFonts w:ascii="Times New Roman" w:hAnsi="Times New Roman" w:eastAsia="黑体" w:cs="Times New Roman"/>
          <w:sz w:val="30"/>
          <w:szCs w:val="30"/>
        </w:rPr>
        <w:t>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银行需进行转换的资本金（营运资金）属于因政策性注资背景产生的资本金（营运资金）完成本外币转换后的“（外汇所有者权益+外汇营运资金）／外汇资产”与“（人民币所有者权益+人民币营运资金）／人民币资产”基本相等。</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以上数据按银行境内机构的资产负债表计算，不包括境外关联行。计算外汇资产可扣除部分政策性因素形成的外汇资产；计算人民币资产，应对其中的存放同业和拆放同业取结汇申请前四个季度末的平均数。营运资金和所有者权益不重复计算；人民币营运资金是指外国银行向境内分行拨付的人民币营运资金（含结汇后人民币营运资金）；外汇营运资金是外国银行向境内分行拨付的外汇营运资金，以及境内法人银行以自有人民币购买并在外汇营运资金科目核算的资金。计算外汇所有者权益时应扣除未分配外汇利润，但未分配外汇利润为亏损的，不得扣除。</w:t>
      </w:r>
    </w:p>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九、</w:t>
      </w:r>
      <w:r>
        <w:rPr>
          <w:rFonts w:ascii="Times New Roman" w:hAnsi="Times New Roman" w:eastAsia="黑体" w:cs="Times New Roman"/>
          <w:sz w:val="30"/>
          <w:szCs w:val="30"/>
        </w:rPr>
        <w:t>申请材料</w:t>
      </w:r>
    </w:p>
    <w:tbl>
      <w:tblPr>
        <w:tblStyle w:val="15"/>
        <w:tblW w:w="840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4394"/>
        <w:gridCol w:w="1102"/>
        <w:gridCol w:w="457"/>
        <w:gridCol w:w="961"/>
        <w:gridCol w:w="457"/>
        <w:gridCol w:w="4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3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10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49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394"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eastAsia="zh-CN"/>
              </w:rPr>
              <w:t>营业执照（统一社会信用代码证）</w:t>
            </w:r>
          </w:p>
        </w:tc>
        <w:tc>
          <w:tcPr>
            <w:tcW w:w="1102"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eastAsia="zh-CN"/>
              </w:rPr>
              <w:t>原件或加盖公章的复印件</w:t>
            </w:r>
          </w:p>
        </w:tc>
        <w:tc>
          <w:tcPr>
            <w:tcW w:w="457" w:type="dxa"/>
            <w:vAlign w:val="center"/>
          </w:tcPr>
          <w:p>
            <w:pPr>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394" w:type="dxa"/>
            <w:vAlign w:val="center"/>
          </w:tcPr>
          <w:p>
            <w:pPr>
              <w:jc w:val="center"/>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申请报告</w:t>
            </w:r>
          </w:p>
        </w:tc>
        <w:tc>
          <w:tcPr>
            <w:tcW w:w="1102" w:type="dxa"/>
            <w:vAlign w:val="center"/>
          </w:tcPr>
          <w:p>
            <w:pPr>
              <w:jc w:val="center"/>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394" w:type="dxa"/>
            <w:vAlign w:val="center"/>
          </w:tcPr>
          <w:p>
            <w:pPr>
              <w:jc w:val="center"/>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人民币和外币资产负债表</w:t>
            </w:r>
          </w:p>
        </w:tc>
        <w:tc>
          <w:tcPr>
            <w:tcW w:w="1102" w:type="dxa"/>
            <w:vAlign w:val="center"/>
          </w:tcPr>
          <w:p>
            <w:pPr>
              <w:jc w:val="center"/>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394" w:type="dxa"/>
            <w:vAlign w:val="center"/>
          </w:tcPr>
          <w:p>
            <w:pPr>
              <w:jc w:val="center"/>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本外币转换金额的测算依据</w:t>
            </w:r>
          </w:p>
        </w:tc>
        <w:tc>
          <w:tcPr>
            <w:tcW w:w="1102" w:type="dxa"/>
            <w:vAlign w:val="center"/>
          </w:tcPr>
          <w:p>
            <w:pPr>
              <w:jc w:val="center"/>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kern w:val="2"/>
                <w:sz w:val="24"/>
                <w:szCs w:val="24"/>
                <w:lang w:val="en-US" w:eastAsia="zh-CN" w:bidi="ar-SA"/>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center"/>
          </w:tcPr>
          <w:p>
            <w:pPr>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5</w:t>
            </w:r>
          </w:p>
        </w:tc>
        <w:tc>
          <w:tcPr>
            <w:tcW w:w="4394" w:type="dxa"/>
            <w:vAlign w:val="center"/>
          </w:tcPr>
          <w:p>
            <w:pPr>
              <w:jc w:val="center"/>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相关交易需经银行业监督管理部门批准的，应提供相应批准文件的复印件</w:t>
            </w:r>
          </w:p>
        </w:tc>
        <w:tc>
          <w:tcPr>
            <w:tcW w:w="1102" w:type="dxa"/>
            <w:vAlign w:val="center"/>
          </w:tcPr>
          <w:p>
            <w:pPr>
              <w:jc w:val="center"/>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457" w:type="dxa"/>
            <w:vAlign w:val="center"/>
          </w:tcPr>
          <w:p>
            <w:pPr>
              <w:jc w:val="center"/>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w:t>
      </w:r>
      <w:r>
        <w:rPr>
          <w:rFonts w:ascii="Times New Roman" w:hAnsi="Times New Roman" w:eastAsia="黑体" w:cs="Times New Roman"/>
          <w:sz w:val="30"/>
          <w:szCs w:val="30"/>
        </w:rPr>
        <w:t>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rPr>
        <w:t>、国家外汇管理局政务服务网上办理系统（http://zwfw.safe.gov.cn/asone</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十一、</w:t>
      </w:r>
      <w:r>
        <w:rPr>
          <w:rFonts w:ascii="Times New Roman" w:hAnsi="Times New Roman" w:eastAsia="黑体" w:cs="Times New Roman"/>
          <w:sz w:val="30"/>
          <w:szCs w:val="30"/>
        </w:rPr>
        <w:t>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进行审查报批，不予许可的，出具不予许可通知书。受理的，审核作出批准或者不予批准的决定，对于符合规定条件予以批准的，出具正式公文；不予批准的，做出不予批准的行政许可书面决定并说明理由。</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一般程序：申请、受理、审查、决定、出具</w:t>
      </w:r>
      <w:r>
        <w:rPr>
          <w:rFonts w:hint="eastAsia" w:ascii="Times New Roman" w:hAnsi="Times New Roman" w:eastAsia="仿宋_GB2312" w:cs="Times New Roman"/>
          <w:sz w:val="30"/>
          <w:szCs w:val="30"/>
          <w:lang w:eastAsia="zh-CN"/>
        </w:rPr>
        <w:t>批准文件</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十三</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十四</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审批结果</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批准文件</w:t>
      </w:r>
      <w:r>
        <w:rPr>
          <w:rFonts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十六</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申请人权利和义务</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十八</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事项审查类型</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r>
        <w:rPr>
          <w:rFonts w:hint="eastAsia" w:ascii="Times New Roman" w:hAnsi="Times New Roman" w:eastAsia="仿宋_GB2312" w:cs="Times New Roman"/>
          <w:sz w:val="30"/>
          <w:szCs w:val="30"/>
        </w:rPr>
        <w:t>。</w:t>
      </w:r>
    </w:p>
    <w:p>
      <w:pPr>
        <w:ind w:firstLine="600"/>
        <w:rPr>
          <w:rFonts w:hint="eastAsia" w:ascii="Times New Roman" w:hAnsi="Times New Roman" w:eastAsia="黑体" w:cs="Times New Roman"/>
          <w:sz w:val="30"/>
          <w:szCs w:val="30"/>
        </w:rPr>
      </w:pPr>
      <w:r>
        <w:rPr>
          <w:rFonts w:ascii="Times New Roman" w:hAnsi="Times New Roman" w:eastAsia="黑体" w:cs="Times New Roman"/>
          <w:sz w:val="30"/>
          <w:szCs w:val="30"/>
        </w:rPr>
        <w:t>十九</w:t>
      </w:r>
      <w:r>
        <w:rPr>
          <w:rFonts w:hint="eastAsia" w:ascii="Times New Roman" w:hAnsi="Times New Roman" w:eastAsia="黑体" w:cs="Times New Roman"/>
          <w:sz w:val="30"/>
          <w:szCs w:val="30"/>
          <w:lang w:eastAsia="zh-CN"/>
        </w:rPr>
        <w:t>、</w:t>
      </w:r>
      <w:r>
        <w:rPr>
          <w:rFonts w:hint="eastAsia" w:ascii="Times New Roman" w:hAnsi="Times New Roman" w:eastAsia="黑体" w:cs="Times New Roman"/>
          <w:sz w:val="30"/>
          <w:szCs w:val="30"/>
        </w:rPr>
        <w:t>咨询途径、监督和投诉、办公地址和时间、公开查询方式等</w:t>
      </w:r>
    </w:p>
    <w:p>
      <w:pPr>
        <w:widowControl w:val="0"/>
        <w:wordWrap/>
        <w:autoSpaceDE w:val="0"/>
        <w:autoSpaceDN w:val="0"/>
        <w:adjustRightInd/>
        <w:snapToGrid/>
        <w:spacing w:before="0" w:after="0" w:line="360" w:lineRule="auto"/>
        <w:ind w:left="0" w:leftChars="0" w:right="0" w:firstLine="600" w:firstLineChars="0"/>
        <w:jc w:val="left"/>
        <w:textAlignment w:val="auto"/>
        <w:outlineLvl w:val="9"/>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向</w:t>
      </w:r>
      <w:r>
        <w:rPr>
          <w:rFonts w:hint="eastAsia" w:ascii="Times New Roman" w:hAnsi="Times New Roman" w:eastAsia="仿宋_GB2312" w:cs="Times New Roman"/>
          <w:sz w:val="30"/>
          <w:szCs w:val="30"/>
          <w:lang w:eastAsia="zh-CN"/>
        </w:rPr>
        <w:t>注册所在地外汇</w:t>
      </w:r>
      <w:r>
        <w:rPr>
          <w:rFonts w:hint="eastAsia" w:ascii="Times New Roman" w:hAnsi="Times New Roman" w:eastAsia="仿宋_GB2312" w:cs="Times New Roman"/>
          <w:sz w:val="30"/>
          <w:szCs w:val="30"/>
        </w:rPr>
        <w:t>局进行咨询、办理进程查询、监督和投诉等</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可通过国家外汇管理局官方互联网站www.safe.gov.cn链接至江苏分局“业务指南”栏目中公布的电话进行。</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二十</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禁止性要求</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二十一、</w:t>
      </w:r>
      <w:r>
        <w:rPr>
          <w:rFonts w:ascii="Times New Roman" w:hAnsi="Times New Roman" w:eastAsia="黑体" w:cs="Times New Roman"/>
          <w:sz w:val="30"/>
          <w:szCs w:val="30"/>
        </w:rPr>
        <w:t>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无固定格式。有关内容要求详见</w:t>
      </w:r>
      <w:r>
        <w:rPr>
          <w:rFonts w:hint="eastAsia" w:ascii="Times New Roman" w:hAnsi="Times New Roman" w:eastAsia="仿宋_GB2312" w:cs="Times New Roman"/>
          <w:sz w:val="30"/>
          <w:szCs w:val="30"/>
          <w:lang w:eastAsia="zh-CN"/>
        </w:rPr>
        <w:t>“九、</w:t>
      </w:r>
      <w:r>
        <w:rPr>
          <w:rFonts w:ascii="Times New Roman" w:hAnsi="Times New Roman" w:eastAsia="仿宋_GB2312" w:cs="Times New Roman"/>
          <w:sz w:val="30"/>
          <w:szCs w:val="30"/>
        </w:rPr>
        <w:t>申请材料</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二十二、</w:t>
      </w:r>
      <w:r>
        <w:rPr>
          <w:rFonts w:ascii="Times New Roman" w:hAnsi="Times New Roman" w:eastAsia="黑体" w:cs="Times New Roman"/>
          <w:sz w:val="30"/>
          <w:szCs w:val="30"/>
        </w:rPr>
        <w:t>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二十三、</w:t>
      </w:r>
      <w:r>
        <w:rPr>
          <w:rFonts w:ascii="Times New Roman" w:hAnsi="Times New Roman" w:eastAsia="黑体" w:cs="Times New Roman"/>
          <w:sz w:val="30"/>
          <w:szCs w:val="30"/>
        </w:rPr>
        <w:t>常见错误示例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申请材料要件不全，例如没有银监部门批准件复印件等。</w:t>
      </w:r>
    </w:p>
    <w:p>
      <w:pPr>
        <w:widowControl/>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cs="Times New Roman"/>
        </w:rPr>
      </w:pPr>
      <w:r>
        <w:rPr>
          <w:rFonts w:ascii="Times New Roman" w:hAnsi="Times New Roman" w:cs="Times New Roman"/>
        </w:rPr>
        <mc:AlternateContent>
          <mc:Choice Requires="wpg">
            <w:drawing>
              <wp:anchor distT="0" distB="0" distL="114300" distR="114300" simplePos="0" relativeHeight="251659264" behindDoc="0" locked="0" layoutInCell="1" allowOverlap="1">
                <wp:simplePos x="0" y="0"/>
                <wp:positionH relativeFrom="column">
                  <wp:posOffset>-593725</wp:posOffset>
                </wp:positionH>
                <wp:positionV relativeFrom="paragraph">
                  <wp:posOffset>368935</wp:posOffset>
                </wp:positionV>
                <wp:extent cx="5928360" cy="5353685"/>
                <wp:effectExtent l="8255" t="4445" r="6985" b="13970"/>
                <wp:wrapNone/>
                <wp:docPr id="21" name="Group 63"/>
                <wp:cNvGraphicFramePr/>
                <a:graphic xmlns:a="http://schemas.openxmlformats.org/drawingml/2006/main">
                  <a:graphicData uri="http://schemas.microsoft.com/office/word/2010/wordprocessingGroup">
                    <wpg:wgp>
                      <wpg:cNvGrpSpPr/>
                      <wpg:grpSpPr>
                        <a:xfrm>
                          <a:off x="0" y="0"/>
                          <a:ext cx="5928360" cy="5353685"/>
                          <a:chOff x="865" y="2645"/>
                          <a:chExt cx="9336" cy="8431"/>
                        </a:xfrm>
                      </wpg:grpSpPr>
                      <wps:wsp>
                        <wps:cNvPr id="2" name="Straight Connector 64"/>
                        <wps:cNvCnPr/>
                        <wps:spPr>
                          <a:xfrm>
                            <a:off x="2612" y="4069"/>
                            <a:ext cx="17" cy="1468"/>
                          </a:xfrm>
                          <a:prstGeom prst="straightConnector1">
                            <a:avLst/>
                          </a:prstGeom>
                          <a:ln w="9525" cap="flat" cmpd="sng">
                            <a:solidFill>
                              <a:srgbClr val="000000"/>
                            </a:solidFill>
                            <a:prstDash val="solid"/>
                            <a:headEnd type="none" w="med" len="med"/>
                            <a:tailEnd type="triangle" w="med" len="med"/>
                          </a:ln>
                        </wps:spPr>
                        <wps:bodyPr/>
                      </wps:wsp>
                      <wps:wsp>
                        <wps:cNvPr id="3" name="Straight Connector 65"/>
                        <wps:cNvCnPr/>
                        <wps:spPr>
                          <a:xfrm>
                            <a:off x="3540" y="5165"/>
                            <a:ext cx="1299" cy="1"/>
                          </a:xfrm>
                          <a:prstGeom prst="straightConnector1">
                            <a:avLst/>
                          </a:prstGeom>
                          <a:ln w="9525" cap="flat" cmpd="sng">
                            <a:solidFill>
                              <a:srgbClr val="000000"/>
                            </a:solidFill>
                            <a:prstDash val="solid"/>
                            <a:headEnd type="none" w="med" len="med"/>
                            <a:tailEnd type="triangle" w="med" len="med"/>
                          </a:ln>
                        </wps:spPr>
                        <wps:bodyPr/>
                      </wps:wsp>
                      <wps:wsp>
                        <wps:cNvPr id="4" name="Straight Connector 66"/>
                        <wps:cNvCnPr/>
                        <wps:spPr>
                          <a:xfrm>
                            <a:off x="3667" y="6198"/>
                            <a:ext cx="1172" cy="0"/>
                          </a:xfrm>
                          <a:prstGeom prst="straightConnector1">
                            <a:avLst/>
                          </a:prstGeom>
                          <a:ln w="9525" cap="flat" cmpd="sng">
                            <a:solidFill>
                              <a:srgbClr val="000000"/>
                            </a:solidFill>
                            <a:prstDash val="solid"/>
                            <a:headEnd type="none" w="med" len="med"/>
                            <a:tailEnd type="triangle" w="med" len="med"/>
                          </a:ln>
                        </wps:spPr>
                        <wps:bodyPr/>
                      </wps:wsp>
                      <wps:wsp>
                        <wps:cNvPr id="5" name="Straight Connector 67"/>
                        <wps:cNvCnPr/>
                        <wps:spPr>
                          <a:xfrm flipV="1">
                            <a:off x="8191" y="4018"/>
                            <a:ext cx="1" cy="895"/>
                          </a:xfrm>
                          <a:prstGeom prst="straightConnector1">
                            <a:avLst/>
                          </a:prstGeom>
                          <a:ln w="9525" cap="flat" cmpd="sng">
                            <a:solidFill>
                              <a:srgbClr val="000000"/>
                            </a:solidFill>
                            <a:prstDash val="solid"/>
                            <a:headEnd type="none" w="med" len="med"/>
                            <a:tailEnd type="triangle" w="med" len="med"/>
                          </a:ln>
                        </wps:spPr>
                        <wps:bodyPr/>
                      </wps:wsp>
                      <wps:wsp>
                        <wps:cNvPr id="6" name="Straight Connector 68"/>
                        <wps:cNvCnPr/>
                        <wps:spPr>
                          <a:xfrm flipH="1">
                            <a:off x="2629" y="4357"/>
                            <a:ext cx="4643" cy="1"/>
                          </a:xfrm>
                          <a:prstGeom prst="straightConnector1">
                            <a:avLst/>
                          </a:prstGeom>
                          <a:ln w="9525" cap="flat" cmpd="sng">
                            <a:solidFill>
                              <a:srgbClr val="000000"/>
                            </a:solidFill>
                            <a:prstDash val="solid"/>
                            <a:headEnd type="none" w="med" len="med"/>
                            <a:tailEnd type="triangle" w="med" len="med"/>
                          </a:ln>
                        </wps:spPr>
                        <wps:bodyPr/>
                      </wps:wsp>
                      <wps:wsp>
                        <wps:cNvPr id="7" name="Straight Connector 69"/>
                        <wps:cNvCnPr/>
                        <wps:spPr>
                          <a:xfrm>
                            <a:off x="5392" y="8028"/>
                            <a:ext cx="0" cy="437"/>
                          </a:xfrm>
                          <a:prstGeom prst="straightConnector1">
                            <a:avLst/>
                          </a:prstGeom>
                          <a:ln w="9525" cap="flat" cmpd="sng">
                            <a:solidFill>
                              <a:srgbClr val="000000"/>
                            </a:solidFill>
                            <a:prstDash val="solid"/>
                            <a:headEnd type="none" w="med" len="med"/>
                            <a:tailEnd type="triangle" w="med" len="med"/>
                          </a:ln>
                        </wps:spPr>
                        <wps:bodyPr/>
                      </wps:wsp>
                      <wps:wsp>
                        <wps:cNvPr id="8" name="Straight Connector 70"/>
                        <wps:cNvCnPr/>
                        <wps:spPr>
                          <a:xfrm>
                            <a:off x="6547" y="8999"/>
                            <a:ext cx="17" cy="905"/>
                          </a:xfrm>
                          <a:prstGeom prst="straightConnector1">
                            <a:avLst/>
                          </a:prstGeom>
                          <a:ln w="9525" cap="flat" cmpd="sng">
                            <a:solidFill>
                              <a:srgbClr val="000000"/>
                            </a:solidFill>
                            <a:prstDash val="solid"/>
                            <a:headEnd type="none" w="med" len="med"/>
                            <a:tailEnd type="triangle" w="med" len="med"/>
                          </a:ln>
                        </wps:spPr>
                        <wps:bodyPr/>
                      </wps:wsp>
                      <wps:wsp>
                        <wps:cNvPr id="9" name="Straight Connector 71"/>
                        <wps:cNvCnPr/>
                        <wps:spPr>
                          <a:xfrm>
                            <a:off x="4432" y="8999"/>
                            <a:ext cx="1" cy="905"/>
                          </a:xfrm>
                          <a:prstGeom prst="straightConnector1">
                            <a:avLst/>
                          </a:prstGeom>
                          <a:ln w="9525" cap="flat" cmpd="sng">
                            <a:solidFill>
                              <a:srgbClr val="000000"/>
                            </a:solidFill>
                            <a:prstDash val="solid"/>
                            <a:headEnd type="none" w="med" len="med"/>
                            <a:tailEnd type="triangle" w="med" len="med"/>
                          </a:ln>
                        </wps:spPr>
                        <wps:bodyPr/>
                      </wps:wsp>
                      <wps:wsp>
                        <wps:cNvPr id="10" name="Straight Connector 72"/>
                        <wps:cNvCnPr/>
                        <wps:spPr>
                          <a:xfrm>
                            <a:off x="2612" y="6202"/>
                            <a:ext cx="0" cy="1391"/>
                          </a:xfrm>
                          <a:prstGeom prst="straightConnector1">
                            <a:avLst/>
                          </a:prstGeom>
                          <a:ln w="9525" cap="flat" cmpd="sng">
                            <a:solidFill>
                              <a:srgbClr val="000000"/>
                            </a:solidFill>
                            <a:prstDash val="solid"/>
                            <a:headEnd type="none" w="med" len="med"/>
                            <a:tailEnd type="none" w="med" len="med"/>
                          </a:ln>
                        </wps:spPr>
                        <wps:bodyPr/>
                      </wps:wsp>
                      <wps:wsp>
                        <wps:cNvPr id="11" name="Straight Connector 73"/>
                        <wps:cNvCnPr/>
                        <wps:spPr>
                          <a:xfrm>
                            <a:off x="2612" y="7593"/>
                            <a:ext cx="822" cy="0"/>
                          </a:xfrm>
                          <a:prstGeom prst="straightConnector1">
                            <a:avLst/>
                          </a:prstGeom>
                          <a:ln w="9525" cap="flat" cmpd="sng">
                            <a:solidFill>
                              <a:srgbClr val="000000"/>
                            </a:solidFill>
                            <a:prstDash val="solid"/>
                            <a:headEnd type="none" w="med" len="med"/>
                            <a:tailEnd type="triangle" w="med" len="med"/>
                          </a:ln>
                        </wps:spPr>
                        <wps:bodyPr/>
                      </wps:wsp>
                      <wps:wsp>
                        <wps:cNvPr id="12" name="Flowchart: Decision 74"/>
                        <wps:cNvSpPr/>
                        <wps:spPr>
                          <a:xfrm>
                            <a:off x="865" y="4544"/>
                            <a:ext cx="3545" cy="2402"/>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接件并当场（或5个工作日）作出是否受理决定</w:t>
                              </w:r>
                            </w:p>
                            <w:p/>
                          </w:txbxContent>
                        </wps:txbx>
                        <wps:bodyPr upright="1"/>
                      </wps:wsp>
                      <wps:wsp>
                        <wps:cNvPr id="13" name="Rectangle 75"/>
                        <wps:cNvSpPr/>
                        <wps:spPr>
                          <a:xfrm>
                            <a:off x="7272" y="3846"/>
                            <a:ext cx="2094" cy="79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申请人补全材料</w:t>
                              </w:r>
                            </w:p>
                            <w:p/>
                          </w:txbxContent>
                        </wps:txbx>
                        <wps:bodyPr upright="1"/>
                      </wps:wsp>
                      <wps:wsp>
                        <wps:cNvPr id="14" name="Rectangle 76"/>
                        <wps:cNvSpPr/>
                        <wps:spPr>
                          <a:xfrm>
                            <a:off x="4839" y="4913"/>
                            <a:ext cx="5362" cy="50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材料不全或不符合法定形式的，一次性告知补正材料</w:t>
                              </w:r>
                            </w:p>
                            <w:p/>
                          </w:txbxContent>
                        </wps:txbx>
                        <wps:bodyPr upright="1"/>
                      </wps:wsp>
                      <wps:wsp>
                        <wps:cNvPr id="15" name="Rectangle 77"/>
                        <wps:cNvSpPr/>
                        <wps:spPr>
                          <a:xfrm>
                            <a:off x="4839" y="5765"/>
                            <a:ext cx="5362" cy="906"/>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依法不予受理的，作出不予受理决定，出具不予受理通知书</w:t>
                              </w:r>
                            </w:p>
                            <w:p/>
                          </w:txbxContent>
                        </wps:txbx>
                        <wps:bodyPr upright="1"/>
                      </wps:wsp>
                      <wps:wsp>
                        <wps:cNvPr id="16" name="Rectangle 78"/>
                        <wps:cNvSpPr/>
                        <wps:spPr>
                          <a:xfrm>
                            <a:off x="3433" y="7425"/>
                            <a:ext cx="4104" cy="60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依法应予受理，出具受理单</w:t>
                              </w:r>
                            </w:p>
                            <w:p/>
                          </w:txbxContent>
                        </wps:txbx>
                        <wps:bodyPr upright="1"/>
                      </wps:wsp>
                      <wps:wsp>
                        <wps:cNvPr id="17" name="Rectangle 79"/>
                        <wps:cNvSpPr/>
                        <wps:spPr>
                          <a:xfrm>
                            <a:off x="3434" y="8465"/>
                            <a:ext cx="4252" cy="53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审查报批</w:t>
                              </w:r>
                            </w:p>
                            <w:p/>
                          </w:txbxContent>
                        </wps:txbx>
                        <wps:bodyPr upright="1"/>
                      </wps:wsp>
                      <wps:wsp>
                        <wps:cNvPr id="18" name="Rectangle 80"/>
                        <wps:cNvSpPr/>
                        <wps:spPr>
                          <a:xfrm>
                            <a:off x="1771" y="2645"/>
                            <a:ext cx="2744" cy="142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wps:txbx>
                        <wps:bodyPr upright="1"/>
                      </wps:wsp>
                      <wps:wsp>
                        <wps:cNvPr id="19" name="Rectangle 81"/>
                        <wps:cNvSpPr/>
                        <wps:spPr>
                          <a:xfrm>
                            <a:off x="3433" y="9904"/>
                            <a:ext cx="1747" cy="117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rPr>
                                <w:t>予以许可，向申请人出具</w:t>
                              </w:r>
                              <w:r>
                                <w:rPr>
                                  <w:rFonts w:hint="eastAsia"/>
                                  <w:lang w:eastAsia="zh-CN"/>
                                </w:rPr>
                                <w:t>批准文件</w:t>
                              </w:r>
                            </w:p>
                            <w:p/>
                          </w:txbxContent>
                        </wps:txbx>
                        <wps:bodyPr upright="1"/>
                      </wps:wsp>
                      <wps:wsp>
                        <wps:cNvPr id="20" name="Rectangle 82"/>
                        <wps:cNvSpPr/>
                        <wps:spPr>
                          <a:xfrm>
                            <a:off x="5790" y="9904"/>
                            <a:ext cx="1747" cy="1172"/>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依法作出不予许可决定，并送达</w:t>
                              </w:r>
                            </w:p>
                            <w:p/>
                          </w:txbxContent>
                        </wps:txbx>
                        <wps:bodyPr upright="1"/>
                      </wps:wsp>
                    </wpg:wgp>
                  </a:graphicData>
                </a:graphic>
              </wp:anchor>
            </w:drawing>
          </mc:Choice>
          <mc:Fallback>
            <w:pict>
              <v:group id="Group 63" o:spid="_x0000_s1026" o:spt="203" style="position:absolute;left:0pt;margin-left:-46.75pt;margin-top:29.05pt;height:421.55pt;width:466.8pt;z-index:251659264;mso-width-relative:page;mso-height-relative:page;" coordorigin="865,2645" coordsize="9336,8431" o:gfxdata="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">
                <o:lock v:ext="edit" aspectratio="f"/>
                <v:shape id="Straight Connector 64" o:spid="_x0000_s1026" o:spt="32" type="#_x0000_t32" style="position:absolute;left:2612;top:4069;height:1468;width:17;" filled="f" stroked="t" coordsize="21600,21600" o:gfxdata="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jcQ6K8AAAA&#10;2g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Straight Connector 65" o:spid="_x0000_s1026" o:spt="32" type="#_x0000_t32" style="position:absolute;left:3540;top:5165;height:1;width:1299;" filled="f" stroked="t" coordsize="21600,21600" o:gfxdata="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eQ5jm8AAAA&#10;2g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Straight Connector 66" o:spid="_x0000_s1026" o:spt="32" type="#_x0000_t32" style="position:absolute;left:3667;top:6198;height:0;width:1172;" filled="f" stroked="t" coordsize="21600,21600" o:gfxdata="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h5fk28AAAA&#10;2g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Straight Connector 67" o:spid="_x0000_s1026" o:spt="32" type="#_x0000_t32" style="position:absolute;left:8191;top:4018;flip:y;height:895;width:1;" filled="f" stroked="t" coordsize="21600,21600" o:gfxdata="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68BSvQAA&#10;ANo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Straight Connector 68" o:spid="_x0000_s1026" o:spt="32" type="#_x0000_t32" style="position:absolute;left:2629;top:4357;flip:x;height:1;width:4643;" filled="f" stroked="t" coordsize="21600,21600" o:gfxdata="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OV4lvQAA&#10;ANo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Straight Connector 69" o:spid="_x0000_s1026" o:spt="32" type="#_x0000_t32" style="position:absolute;left:5392;top:8028;height:437;width:0;" filled="f" stroked="t" coordsize="21600,21600" o:gfxdata="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q+A6vQAA&#10;ANo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Straight Connector 70" o:spid="_x0000_s1026" o:spt="32" type="#_x0000_t32" style="position:absolute;left:6547;top:8999;height:905;width:17;" filled="f" stroked="t" coordsize="21600,21600" o:gfxdata="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k0dEi5AAAA2gAA&#10;AA8AAAAAAAAAAQAgAAAAIgAAAGRycy9kb3ducmV2LnhtbFBLAQIUABQAAAAIAIdO4kAzLwWeOwAA&#10;ADkAAAAQAAAAAAAAAAEAIAAAAAgBAABkcnMvc2hhcGV4bWwueG1sUEsFBgAAAAAGAAYAWwEAALID&#10;AAAAAA==&#10;">
                  <v:fill on="f" focussize="0,0"/>
                  <v:stroke color="#000000" joinstyle="round" endarrow="block"/>
                  <v:imagedata o:title=""/>
                  <o:lock v:ext="edit" aspectratio="f"/>
                </v:shape>
                <v:shape id="Straight Connector 71" o:spid="_x0000_s1026" o:spt="32" type="#_x0000_t32" style="position:absolute;left:4432;top:8999;height:905;width:1;" filled="f" stroked="t" coordsize="21600,21600" o:gfxdata="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eNHTvQAA&#10;ANo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Straight Connector 72" o:spid="_x0000_s1026" o:spt="32" type="#_x0000_t32" style="position:absolute;left:2612;top:6202;height:1391;width:0;" filled="f" stroked="t" coordsize="21600,21600" o:gfxdata="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SNZg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Straight Connector 73" o:spid="_x0000_s1026" o:spt="32" type="#_x0000_t32" style="position:absolute;left:2612;top:7593;height:0;width:822;" filled="f" stroked="t" coordsize="21600,21600" o:gfxdata="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MBMY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Flowchart: Decision 74" o:spid="_x0000_s1026" o:spt="110" type="#_x0000_t110" style="position:absolute;left:865;top:4544;height:2402;width:3545;" fillcolor="#FFFFFF" filled="t" stroked="t" coordsize="21600,21600" o:gfxdata="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WXvW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r>
                          <w:rPr>
                            <w:rFonts w:hint="eastAsia"/>
                          </w:rPr>
                          <w:t>接件并当场（或5个工作日）作出是否受理决定</w:t>
                        </w:r>
                      </w:p>
                      <w:p/>
                    </w:txbxContent>
                  </v:textbox>
                </v:shape>
                <v:rect id="Rectangle 75" o:spid="_x0000_s1026" o:spt="1" style="position:absolute;left:7272;top:3846;height:796;width:2094;" fillcolor="#FFFFFF" filled="t" stroked="t" coordsize="21600,21600" o:gfxdata="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ToDm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pPr>
                        <w:r>
                          <w:rPr>
                            <w:rFonts w:hint="eastAsia"/>
                          </w:rPr>
                          <w:t>申请人补全材料</w:t>
                        </w:r>
                      </w:p>
                      <w:p/>
                    </w:txbxContent>
                  </v:textbox>
                </v:rect>
                <v:rect id="Rectangle 76" o:spid="_x0000_s1026" o:spt="1" style="position:absolute;left:4839;top:4913;height:500;width:5362;" fillcolor="#FFFFFF" filled="t" stroked="t" coordsize="21600,21600" o:gfxdata="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pxiS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r>
                          <w:rPr>
                            <w:rFonts w:hint="eastAsia"/>
                          </w:rPr>
                          <w:t>材料不全或不符合法定形式的，一次性告知补正材料</w:t>
                        </w:r>
                      </w:p>
                      <w:p/>
                    </w:txbxContent>
                  </v:textbox>
                </v:rect>
                <v:rect id="Rectangle 77" o:spid="_x0000_s1026" o:spt="1" style="position:absolute;left:4839;top:5765;height:906;width:5362;" fillcolor="#FFFFFF" filled="t" stroked="t" coordsize="21600,21600" o:gfxdata="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670J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r>
                          <w:rPr>
                            <w:rFonts w:hint="eastAsia"/>
                          </w:rPr>
                          <w:t>依法不予受理的，作出不予受理决定，出具不予受理通知书</w:t>
                        </w:r>
                      </w:p>
                      <w:p/>
                    </w:txbxContent>
                  </v:textbox>
                </v:rect>
                <v:rect id="Rectangle 78" o:spid="_x0000_s1026" o:spt="1" style="position:absolute;left:3433;top:7425;height:603;width:4104;" fillcolor="#FFFFFF" filled="t" stroked="t" coordsize="21600,21600" o:gfxdata="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OSN+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pPr>
                        <w:r>
                          <w:rPr>
                            <w:rFonts w:hint="eastAsia"/>
                          </w:rPr>
                          <w:t>依法应予受理，出具受理单</w:t>
                        </w:r>
                      </w:p>
                      <w:p/>
                    </w:txbxContent>
                  </v:textbox>
                </v:rect>
                <v:rect id="Rectangle 79" o:spid="_x0000_s1026" o:spt="1" style="position:absolute;left:3434;top:8465;height:534;width:4252;" fillcolor="#FFFFFF" filled="t" stroked="t" coordsize="21600,21600" o:gfxdata="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dYbl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pPr>
                        <w:r>
                          <w:rPr>
                            <w:rFonts w:hint="eastAsia"/>
                          </w:rPr>
                          <w:t>审查报批</w:t>
                        </w:r>
                      </w:p>
                      <w:p/>
                    </w:txbxContent>
                  </v:textbox>
                </v:rect>
                <v:rect id="Rectangle 80" o:spid="_x0000_s1026" o:spt="1" style="position:absolute;left:1771;top:2645;height:1424;width:2744;" fillcolor="#FFFFFF" filled="t" stroked="t" coordsize="21600,21600" o:gfxdata="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vqEpe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ect>
                <v:rect id="Rectangle 81" o:spid="_x0000_s1026" o:spt="1" style="position:absolute;left:3433;top:9904;height:1172;width:1747;" fillcolor="#FFFFFF" filled="t" stroked="t" coordsize="21600,21600" o:gfxdata="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Ka3DL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rPr>
                            <w:rFonts w:hint="eastAsia" w:eastAsia="宋体"/>
                            <w:lang w:eastAsia="zh-CN"/>
                          </w:rPr>
                        </w:pPr>
                        <w:r>
                          <w:rPr>
                            <w:rFonts w:hint="eastAsia"/>
                          </w:rPr>
                          <w:t>予以许可，向申请人出具</w:t>
                        </w:r>
                        <w:r>
                          <w:rPr>
                            <w:rFonts w:hint="eastAsia"/>
                            <w:lang w:eastAsia="zh-CN"/>
                          </w:rPr>
                          <w:t>批准文件</w:t>
                        </w:r>
                      </w:p>
                      <w:p/>
                    </w:txbxContent>
                  </v:textbox>
                </v:rect>
                <v:rect id="Rectangle 82" o:spid="_x0000_s1026" o:spt="1" style="position:absolute;left:5790;top:9904;height:1172;width:1747;" fillcolor="#FFFFFF" filled="t" stroked="t" coordsize="21600,21600" o:gfxdata="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8NQs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r>
                          <w:rPr>
                            <w:rFonts w:hint="eastAsia"/>
                          </w:rPr>
                          <w:t>依法作出不予许可决定，并送达</w:t>
                        </w:r>
                      </w:p>
                      <w:p/>
                    </w:txbxContent>
                  </v:textbox>
                </v:rect>
              </v:group>
            </w:pict>
          </mc:Fallback>
        </mc:AlternateContent>
      </w:r>
    </w:p>
    <w:sectPr>
      <w:footerReference r:id="rId10"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1</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6</w:t>
    </w:r>
    <w:r>
      <w:rPr>
        <w:lang w:val="zh-CN"/>
      </w:rPr>
      <w:fldChar w:fldCharType="end"/>
    </w: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6</w: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31E"/>
    <w:rsid w:val="00003372"/>
    <w:rsid w:val="00012E9F"/>
    <w:rsid w:val="00017E6C"/>
    <w:rsid w:val="00022191"/>
    <w:rsid w:val="00022EF6"/>
    <w:rsid w:val="00023783"/>
    <w:rsid w:val="00041960"/>
    <w:rsid w:val="00042B58"/>
    <w:rsid w:val="00054B00"/>
    <w:rsid w:val="00055270"/>
    <w:rsid w:val="00057F76"/>
    <w:rsid w:val="0006560A"/>
    <w:rsid w:val="00072F8A"/>
    <w:rsid w:val="000750C8"/>
    <w:rsid w:val="00080630"/>
    <w:rsid w:val="00081708"/>
    <w:rsid w:val="00091661"/>
    <w:rsid w:val="00092D53"/>
    <w:rsid w:val="00096CBB"/>
    <w:rsid w:val="00097F7B"/>
    <w:rsid w:val="000B6901"/>
    <w:rsid w:val="000B728B"/>
    <w:rsid w:val="000C15B3"/>
    <w:rsid w:val="000C2B33"/>
    <w:rsid w:val="000D1995"/>
    <w:rsid w:val="000D7478"/>
    <w:rsid w:val="00101BF0"/>
    <w:rsid w:val="001110B5"/>
    <w:rsid w:val="0012271F"/>
    <w:rsid w:val="00130519"/>
    <w:rsid w:val="00135BEE"/>
    <w:rsid w:val="0014667A"/>
    <w:rsid w:val="00154B58"/>
    <w:rsid w:val="00156A33"/>
    <w:rsid w:val="00157C64"/>
    <w:rsid w:val="00157E81"/>
    <w:rsid w:val="00170126"/>
    <w:rsid w:val="00177059"/>
    <w:rsid w:val="00181D3E"/>
    <w:rsid w:val="00186BC2"/>
    <w:rsid w:val="00196FAE"/>
    <w:rsid w:val="001A3E49"/>
    <w:rsid w:val="001A72AA"/>
    <w:rsid w:val="001B1E2C"/>
    <w:rsid w:val="001C44C7"/>
    <w:rsid w:val="001D65A2"/>
    <w:rsid w:val="001E1407"/>
    <w:rsid w:val="001F4BD4"/>
    <w:rsid w:val="001F7297"/>
    <w:rsid w:val="002023CA"/>
    <w:rsid w:val="00205D07"/>
    <w:rsid w:val="00212F39"/>
    <w:rsid w:val="00217116"/>
    <w:rsid w:val="00231EED"/>
    <w:rsid w:val="00233841"/>
    <w:rsid w:val="00235F24"/>
    <w:rsid w:val="002417D2"/>
    <w:rsid w:val="00241FE8"/>
    <w:rsid w:val="0024527E"/>
    <w:rsid w:val="00246DE8"/>
    <w:rsid w:val="00253F7B"/>
    <w:rsid w:val="00263773"/>
    <w:rsid w:val="00263929"/>
    <w:rsid w:val="00263B1F"/>
    <w:rsid w:val="00291C17"/>
    <w:rsid w:val="0029313A"/>
    <w:rsid w:val="002933AB"/>
    <w:rsid w:val="002950D9"/>
    <w:rsid w:val="002B0B1C"/>
    <w:rsid w:val="002B3BD0"/>
    <w:rsid w:val="002B598D"/>
    <w:rsid w:val="002B61C1"/>
    <w:rsid w:val="002C5527"/>
    <w:rsid w:val="002E1323"/>
    <w:rsid w:val="002F3868"/>
    <w:rsid w:val="002F54E5"/>
    <w:rsid w:val="00302119"/>
    <w:rsid w:val="00302E87"/>
    <w:rsid w:val="00305850"/>
    <w:rsid w:val="00310261"/>
    <w:rsid w:val="0031063C"/>
    <w:rsid w:val="00343044"/>
    <w:rsid w:val="00344B01"/>
    <w:rsid w:val="00353AC4"/>
    <w:rsid w:val="00360920"/>
    <w:rsid w:val="003616B4"/>
    <w:rsid w:val="003700DA"/>
    <w:rsid w:val="003A57B2"/>
    <w:rsid w:val="003C0E26"/>
    <w:rsid w:val="003C7132"/>
    <w:rsid w:val="003D77A5"/>
    <w:rsid w:val="003E6BF6"/>
    <w:rsid w:val="003F221D"/>
    <w:rsid w:val="003F3097"/>
    <w:rsid w:val="00402AE8"/>
    <w:rsid w:val="00405FE6"/>
    <w:rsid w:val="004105BC"/>
    <w:rsid w:val="00421C27"/>
    <w:rsid w:val="00440A1F"/>
    <w:rsid w:val="00443603"/>
    <w:rsid w:val="00443604"/>
    <w:rsid w:val="004501EA"/>
    <w:rsid w:val="00460458"/>
    <w:rsid w:val="0046792D"/>
    <w:rsid w:val="004767DF"/>
    <w:rsid w:val="00493CCC"/>
    <w:rsid w:val="004A0218"/>
    <w:rsid w:val="004A7840"/>
    <w:rsid w:val="004B545A"/>
    <w:rsid w:val="004B7E80"/>
    <w:rsid w:val="004C457E"/>
    <w:rsid w:val="004C48D5"/>
    <w:rsid w:val="004D03B7"/>
    <w:rsid w:val="004D1436"/>
    <w:rsid w:val="004D57AE"/>
    <w:rsid w:val="005056D4"/>
    <w:rsid w:val="00505F28"/>
    <w:rsid w:val="0051222F"/>
    <w:rsid w:val="00526B2B"/>
    <w:rsid w:val="005310DD"/>
    <w:rsid w:val="005362B0"/>
    <w:rsid w:val="00542447"/>
    <w:rsid w:val="00564312"/>
    <w:rsid w:val="005736E4"/>
    <w:rsid w:val="0057582D"/>
    <w:rsid w:val="005A2981"/>
    <w:rsid w:val="005C6937"/>
    <w:rsid w:val="005C7F02"/>
    <w:rsid w:val="005F0A86"/>
    <w:rsid w:val="005F144A"/>
    <w:rsid w:val="005F1C00"/>
    <w:rsid w:val="0061621E"/>
    <w:rsid w:val="00621907"/>
    <w:rsid w:val="00630AA8"/>
    <w:rsid w:val="00630B2E"/>
    <w:rsid w:val="006310B9"/>
    <w:rsid w:val="00643D2A"/>
    <w:rsid w:val="00664E11"/>
    <w:rsid w:val="00667D08"/>
    <w:rsid w:val="00673B30"/>
    <w:rsid w:val="00696E5D"/>
    <w:rsid w:val="006B5B86"/>
    <w:rsid w:val="006C07A1"/>
    <w:rsid w:val="006C5908"/>
    <w:rsid w:val="006C633E"/>
    <w:rsid w:val="006D56AB"/>
    <w:rsid w:val="006D734F"/>
    <w:rsid w:val="006D74BC"/>
    <w:rsid w:val="006E043F"/>
    <w:rsid w:val="006E19C3"/>
    <w:rsid w:val="006E4695"/>
    <w:rsid w:val="006E4B8B"/>
    <w:rsid w:val="006E5901"/>
    <w:rsid w:val="0071091C"/>
    <w:rsid w:val="00714961"/>
    <w:rsid w:val="00744BD5"/>
    <w:rsid w:val="00745748"/>
    <w:rsid w:val="00750E36"/>
    <w:rsid w:val="00753CB0"/>
    <w:rsid w:val="00755460"/>
    <w:rsid w:val="00761FB7"/>
    <w:rsid w:val="00762107"/>
    <w:rsid w:val="00764CB9"/>
    <w:rsid w:val="00765B05"/>
    <w:rsid w:val="0077269F"/>
    <w:rsid w:val="00785F45"/>
    <w:rsid w:val="0079071F"/>
    <w:rsid w:val="007A2780"/>
    <w:rsid w:val="007A68EA"/>
    <w:rsid w:val="007A77B5"/>
    <w:rsid w:val="007B06FC"/>
    <w:rsid w:val="007B0FEF"/>
    <w:rsid w:val="007B2DB5"/>
    <w:rsid w:val="007B6E4D"/>
    <w:rsid w:val="007D2C11"/>
    <w:rsid w:val="007D6171"/>
    <w:rsid w:val="007D69EA"/>
    <w:rsid w:val="007E2C7B"/>
    <w:rsid w:val="007E411B"/>
    <w:rsid w:val="007F0863"/>
    <w:rsid w:val="007F2F3B"/>
    <w:rsid w:val="007F403A"/>
    <w:rsid w:val="00802307"/>
    <w:rsid w:val="00815107"/>
    <w:rsid w:val="0082168E"/>
    <w:rsid w:val="00821968"/>
    <w:rsid w:val="008471B6"/>
    <w:rsid w:val="00851521"/>
    <w:rsid w:val="0085686A"/>
    <w:rsid w:val="00860878"/>
    <w:rsid w:val="0086108D"/>
    <w:rsid w:val="008731FF"/>
    <w:rsid w:val="0088294A"/>
    <w:rsid w:val="0089282A"/>
    <w:rsid w:val="008A4538"/>
    <w:rsid w:val="008A704B"/>
    <w:rsid w:val="008B08D2"/>
    <w:rsid w:val="008B4EE5"/>
    <w:rsid w:val="008B5807"/>
    <w:rsid w:val="008D3737"/>
    <w:rsid w:val="008D5FA0"/>
    <w:rsid w:val="008E2D38"/>
    <w:rsid w:val="008F5724"/>
    <w:rsid w:val="008F5900"/>
    <w:rsid w:val="00902633"/>
    <w:rsid w:val="009027D8"/>
    <w:rsid w:val="0090372F"/>
    <w:rsid w:val="00911E27"/>
    <w:rsid w:val="00911E9A"/>
    <w:rsid w:val="0092129A"/>
    <w:rsid w:val="00925BB2"/>
    <w:rsid w:val="00930C8C"/>
    <w:rsid w:val="009360EA"/>
    <w:rsid w:val="00944984"/>
    <w:rsid w:val="00947C57"/>
    <w:rsid w:val="00951149"/>
    <w:rsid w:val="00960EDB"/>
    <w:rsid w:val="009622DB"/>
    <w:rsid w:val="009664BC"/>
    <w:rsid w:val="00980F02"/>
    <w:rsid w:val="00991B77"/>
    <w:rsid w:val="00997523"/>
    <w:rsid w:val="009A0C5D"/>
    <w:rsid w:val="009C4672"/>
    <w:rsid w:val="009C491B"/>
    <w:rsid w:val="009D0911"/>
    <w:rsid w:val="009D24F8"/>
    <w:rsid w:val="009D688C"/>
    <w:rsid w:val="009F7A36"/>
    <w:rsid w:val="00A249C2"/>
    <w:rsid w:val="00A24FAB"/>
    <w:rsid w:val="00A301E7"/>
    <w:rsid w:val="00A35B56"/>
    <w:rsid w:val="00A42E69"/>
    <w:rsid w:val="00A430E2"/>
    <w:rsid w:val="00A45CA7"/>
    <w:rsid w:val="00A51415"/>
    <w:rsid w:val="00A6014E"/>
    <w:rsid w:val="00A60356"/>
    <w:rsid w:val="00A66F2C"/>
    <w:rsid w:val="00A81DF1"/>
    <w:rsid w:val="00A90EF3"/>
    <w:rsid w:val="00AA7717"/>
    <w:rsid w:val="00AB131E"/>
    <w:rsid w:val="00AB55C5"/>
    <w:rsid w:val="00AB644F"/>
    <w:rsid w:val="00AC2FF7"/>
    <w:rsid w:val="00AC3F5E"/>
    <w:rsid w:val="00AE7ACF"/>
    <w:rsid w:val="00B047AB"/>
    <w:rsid w:val="00B06409"/>
    <w:rsid w:val="00B17D66"/>
    <w:rsid w:val="00B31FD9"/>
    <w:rsid w:val="00B35D3A"/>
    <w:rsid w:val="00B417C3"/>
    <w:rsid w:val="00B422F1"/>
    <w:rsid w:val="00B71531"/>
    <w:rsid w:val="00B7456C"/>
    <w:rsid w:val="00B84131"/>
    <w:rsid w:val="00B8630E"/>
    <w:rsid w:val="00B931F4"/>
    <w:rsid w:val="00B95573"/>
    <w:rsid w:val="00B96395"/>
    <w:rsid w:val="00B979C1"/>
    <w:rsid w:val="00BA2AF8"/>
    <w:rsid w:val="00BB2650"/>
    <w:rsid w:val="00BB5BDC"/>
    <w:rsid w:val="00BB7B76"/>
    <w:rsid w:val="00BC639E"/>
    <w:rsid w:val="00BD233D"/>
    <w:rsid w:val="00BF4EF0"/>
    <w:rsid w:val="00C00CBB"/>
    <w:rsid w:val="00C02E44"/>
    <w:rsid w:val="00C147D2"/>
    <w:rsid w:val="00C2075F"/>
    <w:rsid w:val="00C23799"/>
    <w:rsid w:val="00C274C9"/>
    <w:rsid w:val="00C31E02"/>
    <w:rsid w:val="00C45BC1"/>
    <w:rsid w:val="00C54291"/>
    <w:rsid w:val="00C672C3"/>
    <w:rsid w:val="00C712B2"/>
    <w:rsid w:val="00C94325"/>
    <w:rsid w:val="00C97FED"/>
    <w:rsid w:val="00CA0189"/>
    <w:rsid w:val="00CA1DBB"/>
    <w:rsid w:val="00CA2622"/>
    <w:rsid w:val="00CA7F2C"/>
    <w:rsid w:val="00CA7FF8"/>
    <w:rsid w:val="00CB5DE7"/>
    <w:rsid w:val="00CC068D"/>
    <w:rsid w:val="00CC4922"/>
    <w:rsid w:val="00CD1FF6"/>
    <w:rsid w:val="00CE25C7"/>
    <w:rsid w:val="00CE3335"/>
    <w:rsid w:val="00CE4849"/>
    <w:rsid w:val="00CE5C8E"/>
    <w:rsid w:val="00CE5F49"/>
    <w:rsid w:val="00CF184E"/>
    <w:rsid w:val="00D01626"/>
    <w:rsid w:val="00D33A4D"/>
    <w:rsid w:val="00D33F76"/>
    <w:rsid w:val="00D34E0F"/>
    <w:rsid w:val="00D41047"/>
    <w:rsid w:val="00D41F5E"/>
    <w:rsid w:val="00D43DC0"/>
    <w:rsid w:val="00D54E56"/>
    <w:rsid w:val="00D6407D"/>
    <w:rsid w:val="00D82F31"/>
    <w:rsid w:val="00D93E78"/>
    <w:rsid w:val="00DC6E91"/>
    <w:rsid w:val="00DC7514"/>
    <w:rsid w:val="00DD3845"/>
    <w:rsid w:val="00E04A43"/>
    <w:rsid w:val="00E1687A"/>
    <w:rsid w:val="00E20A2E"/>
    <w:rsid w:val="00E277DE"/>
    <w:rsid w:val="00E27EE9"/>
    <w:rsid w:val="00E3239D"/>
    <w:rsid w:val="00E3254B"/>
    <w:rsid w:val="00E3439B"/>
    <w:rsid w:val="00E42C5F"/>
    <w:rsid w:val="00E65A1B"/>
    <w:rsid w:val="00E72F1F"/>
    <w:rsid w:val="00E934AB"/>
    <w:rsid w:val="00EA06AC"/>
    <w:rsid w:val="00EA08BF"/>
    <w:rsid w:val="00EA24FB"/>
    <w:rsid w:val="00EB3204"/>
    <w:rsid w:val="00EB50BA"/>
    <w:rsid w:val="00EC3D33"/>
    <w:rsid w:val="00ED302A"/>
    <w:rsid w:val="00ED3A42"/>
    <w:rsid w:val="00ED6F1A"/>
    <w:rsid w:val="00EE02BC"/>
    <w:rsid w:val="00EE6970"/>
    <w:rsid w:val="00EF38D0"/>
    <w:rsid w:val="00EF3DDF"/>
    <w:rsid w:val="00EF4A8C"/>
    <w:rsid w:val="00F20F3F"/>
    <w:rsid w:val="00F25B04"/>
    <w:rsid w:val="00F2678C"/>
    <w:rsid w:val="00F27B38"/>
    <w:rsid w:val="00F40278"/>
    <w:rsid w:val="00F41832"/>
    <w:rsid w:val="00F45870"/>
    <w:rsid w:val="00F56988"/>
    <w:rsid w:val="00F620FB"/>
    <w:rsid w:val="00F6571F"/>
    <w:rsid w:val="00F8687E"/>
    <w:rsid w:val="00F93331"/>
    <w:rsid w:val="00F95549"/>
    <w:rsid w:val="00FA1E24"/>
    <w:rsid w:val="00FA24FB"/>
    <w:rsid w:val="00FA632B"/>
    <w:rsid w:val="00FB38EA"/>
    <w:rsid w:val="00FB5E0F"/>
    <w:rsid w:val="00FB6AFF"/>
    <w:rsid w:val="00FC4D8F"/>
    <w:rsid w:val="00FC5C4D"/>
    <w:rsid w:val="00FD06D3"/>
    <w:rsid w:val="00FE3157"/>
    <w:rsid w:val="00FE6865"/>
    <w:rsid w:val="00FE6993"/>
    <w:rsid w:val="0BDA0CFB"/>
    <w:rsid w:val="12F82108"/>
    <w:rsid w:val="16DA44B0"/>
    <w:rsid w:val="18F005BC"/>
    <w:rsid w:val="1AAC4A50"/>
    <w:rsid w:val="399B6573"/>
    <w:rsid w:val="3CDF7CD4"/>
    <w:rsid w:val="3DD97BD4"/>
    <w:rsid w:val="403A3D12"/>
    <w:rsid w:val="532E4693"/>
    <w:rsid w:val="5D0B12E3"/>
    <w:rsid w:val="62AF67D5"/>
    <w:rsid w:val="64C54D8A"/>
    <w:rsid w:val="736E58AF"/>
    <w:rsid w:val="73DC2BA0"/>
    <w:rsid w:val="7DCB26E8"/>
    <w:rsid w:val="7E095034"/>
    <w:rsid w:val="7F725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link w:val="33"/>
    <w:qFormat/>
    <w:uiPriority w:val="9"/>
    <w:pPr>
      <w:ind w:firstLine="600" w:firstLineChars="200"/>
      <w:outlineLvl w:val="0"/>
    </w:pPr>
    <w:rPr>
      <w:rFonts w:ascii="黑体" w:hAnsi="黑体" w:eastAsia="黑体" w:cs="宋体"/>
      <w:color w:val="000000"/>
      <w:kern w:val="0"/>
      <w:sz w:val="30"/>
      <w:szCs w:val="30"/>
    </w:rPr>
  </w:style>
  <w:style w:type="paragraph" w:styleId="4">
    <w:name w:val="heading 2"/>
    <w:basedOn w:val="1"/>
    <w:next w:val="1"/>
    <w:link w:val="34"/>
    <w:qFormat/>
    <w:uiPriority w:val="9"/>
    <w:pPr>
      <w:keepNext/>
      <w:keepLines/>
      <w:spacing w:before="260" w:after="260" w:line="416" w:lineRule="auto"/>
      <w:outlineLvl w:val="1"/>
    </w:pPr>
    <w:rPr>
      <w:rFonts w:ascii="Cambria" w:hAnsi="Cambria" w:cs="Times New Roman"/>
      <w:b/>
      <w:bCs/>
      <w:sz w:val="32"/>
      <w:szCs w:val="32"/>
    </w:rPr>
  </w:style>
  <w:style w:type="paragraph" w:styleId="5">
    <w:name w:val="heading 3"/>
    <w:basedOn w:val="1"/>
    <w:next w:val="1"/>
    <w:link w:val="35"/>
    <w:qFormat/>
    <w:uiPriority w:val="9"/>
    <w:pPr>
      <w:ind w:right="300"/>
      <w:outlineLvl w:val="2"/>
    </w:pPr>
    <w:rPr>
      <w:rFonts w:ascii="仿宋_GB2312" w:eastAsia="仿宋_GB2312" w:cs="Times New Roman"/>
      <w:sz w:val="30"/>
      <w:szCs w:val="30"/>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unhideWhenUsed/>
    <w:qFormat/>
    <w:uiPriority w:val="39"/>
    <w:pPr>
      <w:ind w:left="840" w:leftChars="400"/>
    </w:pPr>
  </w:style>
  <w:style w:type="paragraph" w:styleId="6">
    <w:name w:val="Document Map"/>
    <w:basedOn w:val="1"/>
    <w:link w:val="39"/>
    <w:unhideWhenUsed/>
    <w:qFormat/>
    <w:uiPriority w:val="0"/>
    <w:rPr>
      <w:rFonts w:ascii="宋体"/>
      <w:sz w:val="18"/>
      <w:szCs w:val="18"/>
    </w:rPr>
  </w:style>
  <w:style w:type="paragraph" w:styleId="7">
    <w:name w:val="annotation text"/>
    <w:basedOn w:val="1"/>
    <w:link w:val="32"/>
    <w:unhideWhenUsed/>
    <w:qFormat/>
    <w:uiPriority w:val="99"/>
    <w:pPr>
      <w:jc w:val="left"/>
    </w:pPr>
    <w:rPr>
      <w:rFonts w:cs="Times New Roman"/>
    </w:rPr>
  </w:style>
  <w:style w:type="paragraph" w:styleId="8">
    <w:name w:val="Balloon Text"/>
    <w:basedOn w:val="1"/>
    <w:link w:val="30"/>
    <w:unhideWhenUsed/>
    <w:qFormat/>
    <w:uiPriority w:val="0"/>
    <w:rPr>
      <w:sz w:val="18"/>
      <w:szCs w:val="18"/>
    </w:rPr>
  </w:style>
  <w:style w:type="paragraph" w:styleId="9">
    <w:name w:val="footer"/>
    <w:basedOn w:val="1"/>
    <w:link w:val="29"/>
    <w:unhideWhenUsed/>
    <w:qFormat/>
    <w:uiPriority w:val="99"/>
    <w:pPr>
      <w:tabs>
        <w:tab w:val="center" w:pos="4153"/>
        <w:tab w:val="right" w:pos="8306"/>
      </w:tabs>
      <w:snapToGrid w:val="0"/>
      <w:jc w:val="left"/>
    </w:pPr>
    <w:rPr>
      <w:sz w:val="18"/>
      <w:szCs w:val="18"/>
    </w:rPr>
  </w:style>
  <w:style w:type="paragraph" w:styleId="10">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7"/>
    <w:semiHidden/>
    <w:qFormat/>
    <w:uiPriority w:val="0"/>
    <w:pPr>
      <w:snapToGrid w:val="0"/>
      <w:jc w:val="left"/>
    </w:pPr>
    <w:rPr>
      <w:rFonts w:ascii="Times New Roman" w:hAnsi="Times New Roman"/>
      <w:sz w:val="18"/>
      <w:szCs w:val="18"/>
    </w:rPr>
  </w:style>
  <w:style w:type="paragraph" w:styleId="12">
    <w:name w:val="HTML Preformatted"/>
    <w:basedOn w:val="1"/>
    <w:link w:val="3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5">
    <w:name w:val="Table Grid"/>
    <w:basedOn w:val="1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7">
    <w:name w:val="Hyperlink"/>
    <w:basedOn w:val="16"/>
    <w:unhideWhenUsed/>
    <w:qFormat/>
    <w:uiPriority w:val="99"/>
    <w:rPr>
      <w:rFonts w:hint="default" w:ascii="ˎ̥" w:hAnsi="ˎ̥"/>
      <w:color w:val="0453CC"/>
      <w:sz w:val="20"/>
      <w:szCs w:val="20"/>
      <w:u w:val="none"/>
    </w:rPr>
  </w:style>
  <w:style w:type="character" w:styleId="18">
    <w:name w:val="annotation reference"/>
    <w:basedOn w:val="16"/>
    <w:unhideWhenUsed/>
    <w:qFormat/>
    <w:uiPriority w:val="0"/>
    <w:rPr>
      <w:sz w:val="21"/>
      <w:szCs w:val="21"/>
    </w:rPr>
  </w:style>
  <w:style w:type="character" w:styleId="19">
    <w:name w:val="footnote reference"/>
    <w:unhideWhenUsed/>
    <w:qFormat/>
    <w:uiPriority w:val="0"/>
    <w:rPr>
      <w:rFonts w:ascii="Times New Roman" w:hAnsi="Times New Roman" w:cs="Times New Roman"/>
      <w:vertAlign w:val="superscript"/>
    </w:rPr>
  </w:style>
  <w:style w:type="paragraph" w:customStyle="1" w:styleId="20">
    <w:name w:val="列出段落1"/>
    <w:basedOn w:val="1"/>
    <w:qFormat/>
    <w:uiPriority w:val="34"/>
    <w:pPr>
      <w:ind w:firstLine="420" w:firstLineChars="200"/>
    </w:pPr>
  </w:style>
  <w:style w:type="paragraph" w:customStyle="1" w:styleId="21">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2">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3">
    <w:name w:val="修订1"/>
    <w:hidden/>
    <w:semiHidden/>
    <w:qFormat/>
    <w:uiPriority w:val="99"/>
    <w:rPr>
      <w:rFonts w:ascii="Calibri" w:hAnsi="Calibri" w:eastAsia="宋体" w:cs="黑体"/>
      <w:kern w:val="2"/>
      <w:sz w:val="21"/>
      <w:szCs w:val="22"/>
      <w:lang w:val="en-US" w:eastAsia="zh-CN" w:bidi="ar-SA"/>
    </w:rPr>
  </w:style>
  <w:style w:type="paragraph" w:customStyle="1" w:styleId="24">
    <w:name w:val="列出段落11"/>
    <w:basedOn w:val="1"/>
    <w:qFormat/>
    <w:uiPriority w:val="34"/>
    <w:pPr>
      <w:ind w:firstLine="420" w:firstLineChars="200"/>
    </w:pPr>
    <w:rPr>
      <w:rFonts w:cs="Times New Roman"/>
    </w:rPr>
  </w:style>
  <w:style w:type="paragraph" w:customStyle="1" w:styleId="25">
    <w:name w:val="列出段落4"/>
    <w:basedOn w:val="1"/>
    <w:qFormat/>
    <w:uiPriority w:val="0"/>
    <w:pPr>
      <w:ind w:firstLine="200" w:firstLineChars="200"/>
    </w:pPr>
    <w:rPr>
      <w:rFonts w:cs="Times New Roman"/>
    </w:rPr>
  </w:style>
  <w:style w:type="paragraph" w:customStyle="1" w:styleId="26">
    <w:name w:val="列出段落3"/>
    <w:basedOn w:val="1"/>
    <w:qFormat/>
    <w:uiPriority w:val="0"/>
    <w:pPr>
      <w:ind w:firstLine="420" w:firstLineChars="200"/>
    </w:pPr>
    <w:rPr>
      <w:rFonts w:ascii="Times New Roman" w:hAnsi="Times New Roman" w:cs="Times New Roman"/>
      <w:szCs w:val="24"/>
    </w:rPr>
  </w:style>
  <w:style w:type="paragraph" w:customStyle="1" w:styleId="27">
    <w:name w:val="p0"/>
    <w:basedOn w:val="1"/>
    <w:qFormat/>
    <w:uiPriority w:val="0"/>
    <w:pPr>
      <w:widowControl/>
    </w:pPr>
    <w:rPr>
      <w:rFonts w:cs="宋体"/>
      <w:kern w:val="0"/>
      <w:szCs w:val="21"/>
    </w:rPr>
  </w:style>
  <w:style w:type="character" w:customStyle="1" w:styleId="28">
    <w:name w:val="页眉 Char"/>
    <w:basedOn w:val="16"/>
    <w:link w:val="10"/>
    <w:qFormat/>
    <w:uiPriority w:val="99"/>
    <w:rPr>
      <w:sz w:val="18"/>
      <w:szCs w:val="18"/>
    </w:rPr>
  </w:style>
  <w:style w:type="character" w:customStyle="1" w:styleId="29">
    <w:name w:val="页脚 Char"/>
    <w:basedOn w:val="16"/>
    <w:link w:val="9"/>
    <w:qFormat/>
    <w:uiPriority w:val="99"/>
    <w:rPr>
      <w:sz w:val="18"/>
      <w:szCs w:val="18"/>
    </w:rPr>
  </w:style>
  <w:style w:type="character" w:customStyle="1" w:styleId="30">
    <w:name w:val="批注框文本 Char"/>
    <w:basedOn w:val="16"/>
    <w:link w:val="8"/>
    <w:semiHidden/>
    <w:qFormat/>
    <w:uiPriority w:val="0"/>
    <w:rPr>
      <w:sz w:val="18"/>
      <w:szCs w:val="18"/>
    </w:rPr>
  </w:style>
  <w:style w:type="character" w:customStyle="1" w:styleId="31">
    <w:name w:val="HTML 预设格式 Char"/>
    <w:basedOn w:val="16"/>
    <w:link w:val="12"/>
    <w:qFormat/>
    <w:uiPriority w:val="99"/>
    <w:rPr>
      <w:rFonts w:ascii="宋体" w:hAnsi="宋体" w:eastAsia="宋体" w:cs="宋体"/>
      <w:kern w:val="0"/>
      <w:sz w:val="24"/>
      <w:szCs w:val="24"/>
    </w:rPr>
  </w:style>
  <w:style w:type="character" w:customStyle="1" w:styleId="32">
    <w:name w:val="批注文字 Char"/>
    <w:basedOn w:val="16"/>
    <w:link w:val="7"/>
    <w:semiHidden/>
    <w:qFormat/>
    <w:uiPriority w:val="0"/>
    <w:rPr>
      <w:rFonts w:ascii="Calibri" w:hAnsi="Calibri" w:eastAsia="宋体" w:cs="Times New Roman"/>
    </w:rPr>
  </w:style>
  <w:style w:type="character" w:customStyle="1" w:styleId="33">
    <w:name w:val="标题 1 Char"/>
    <w:basedOn w:val="16"/>
    <w:link w:val="3"/>
    <w:qFormat/>
    <w:uiPriority w:val="9"/>
    <w:rPr>
      <w:rFonts w:ascii="黑体" w:hAnsi="黑体" w:eastAsia="黑体" w:cs="宋体"/>
      <w:color w:val="000000"/>
      <w:kern w:val="0"/>
      <w:sz w:val="30"/>
      <w:szCs w:val="30"/>
    </w:rPr>
  </w:style>
  <w:style w:type="character" w:customStyle="1" w:styleId="34">
    <w:name w:val="标题 2 Char"/>
    <w:basedOn w:val="16"/>
    <w:link w:val="4"/>
    <w:qFormat/>
    <w:uiPriority w:val="0"/>
    <w:rPr>
      <w:rFonts w:ascii="Cambria" w:hAnsi="Cambria" w:eastAsia="宋体" w:cs="Times New Roman"/>
      <w:b/>
      <w:bCs/>
      <w:sz w:val="32"/>
      <w:szCs w:val="32"/>
    </w:rPr>
  </w:style>
  <w:style w:type="character" w:customStyle="1" w:styleId="35">
    <w:name w:val="标题 3 Char"/>
    <w:basedOn w:val="16"/>
    <w:link w:val="5"/>
    <w:qFormat/>
    <w:uiPriority w:val="9"/>
    <w:rPr>
      <w:rFonts w:ascii="仿宋_GB2312" w:hAnsi="Calibri" w:eastAsia="仿宋_GB2312" w:cs="Times New Roman"/>
      <w:sz w:val="30"/>
      <w:szCs w:val="30"/>
    </w:rPr>
  </w:style>
  <w:style w:type="character" w:customStyle="1" w:styleId="36">
    <w:name w:val="脚注文本 Char"/>
    <w:basedOn w:val="16"/>
    <w:semiHidden/>
    <w:qFormat/>
    <w:uiPriority w:val="99"/>
    <w:rPr>
      <w:kern w:val="2"/>
      <w:sz w:val="18"/>
      <w:szCs w:val="18"/>
    </w:rPr>
  </w:style>
  <w:style w:type="character" w:customStyle="1" w:styleId="37">
    <w:name w:val="脚注文本 Char1"/>
    <w:basedOn w:val="16"/>
    <w:link w:val="11"/>
    <w:semiHidden/>
    <w:qFormat/>
    <w:uiPriority w:val="0"/>
    <w:rPr>
      <w:rFonts w:ascii="Times New Roman" w:hAnsi="Times New Roman"/>
      <w:sz w:val="18"/>
      <w:szCs w:val="18"/>
    </w:rPr>
  </w:style>
  <w:style w:type="character" w:customStyle="1" w:styleId="38">
    <w:name w:val="标题 4 Char Char"/>
    <w:qFormat/>
    <w:uiPriority w:val="0"/>
    <w:rPr>
      <w:rFonts w:ascii="Calibri" w:hAnsi="Calibri"/>
      <w:b/>
      <w:bCs/>
      <w:sz w:val="28"/>
      <w:szCs w:val="28"/>
      <w:lang w:eastAsia="en-US" w:bidi="en-US"/>
    </w:rPr>
  </w:style>
  <w:style w:type="character" w:customStyle="1" w:styleId="39">
    <w:name w:val="文档结构图 Char"/>
    <w:basedOn w:val="16"/>
    <w:link w:val="6"/>
    <w:qFormat/>
    <w:uiPriority w:val="0"/>
    <w:rPr>
      <w:rFonts w:ascii="宋体"/>
      <w:sz w:val="18"/>
      <w:szCs w:val="18"/>
    </w:rPr>
  </w:style>
  <w:style w:type="character" w:customStyle="1" w:styleId="40">
    <w:name w:val="批注文字 Char1"/>
    <w:basedOn w:val="16"/>
    <w:semiHidden/>
    <w:qFormat/>
    <w:uiPriority w:val="99"/>
    <w:rPr>
      <w:kern w:val="2"/>
      <w:sz w:val="21"/>
      <w:szCs w:val="22"/>
    </w:rPr>
  </w:style>
  <w:style w:type="character" w:customStyle="1" w:styleId="41">
    <w:name w:val="明显强调1"/>
    <w:basedOn w:val="16"/>
    <w:qFormat/>
    <w:uiPriority w:val="21"/>
    <w:rPr>
      <w:b/>
      <w:bCs/>
      <w:i/>
      <w:iCs/>
      <w:color w:val="4F81BD"/>
    </w:rPr>
  </w:style>
  <w:style w:type="character" w:customStyle="1" w:styleId="42">
    <w:name w:val="文档结构图 Char1"/>
    <w:basedOn w:val="16"/>
    <w:semiHidden/>
    <w:qFormat/>
    <w:uiPriority w:val="99"/>
    <w:rPr>
      <w:rFonts w:ascii="宋体" w:eastAsia="宋体"/>
      <w:sz w:val="18"/>
      <w:szCs w:val="18"/>
    </w:rPr>
  </w:style>
  <w:style w:type="character" w:customStyle="1" w:styleId="43">
    <w:name w:val="脚注文本 Char2"/>
    <w:basedOn w:val="16"/>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346</Words>
  <Characters>1975</Characters>
  <Lines>16</Lines>
  <Paragraphs>4</Paragraphs>
  <TotalTime>2</TotalTime>
  <ScaleCrop>false</ScaleCrop>
  <LinksUpToDate>false</LinksUpToDate>
  <CharactersWithSpaces>2317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2020-02-26T12:18:00Z</dcterms:created>
  <dc:creator>裴建君2</dc:creator>
  <cp:lastModifiedBy>彭欣然</cp:lastModifiedBy>
  <cp:lastPrinted>2017-11-24T00:22:00Z</cp:lastPrinted>
  <dcterms:modified xsi:type="dcterms:W3CDTF">2023-03-02T10:21:43Z</dcterms:modified>
  <dc:title>编号：57015               _x0001_</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