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000171112008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-92" w:rightChars="-44"/>
        <w:jc w:val="center"/>
        <w:rPr>
          <w:rFonts w:hint="default" w:ascii="Times New Roman" w:hAnsi="Times New Roman" w:eastAsia="方正小标宋_GBK" w:cs="Times New Roman"/>
          <w:b w:val="0"/>
          <w:bCs w:val="0"/>
          <w:strike w:val="0"/>
          <w:dstrike w:val="0"/>
          <w:color w:val="auto"/>
          <w:sz w:val="40"/>
          <w:szCs w:val="40"/>
          <w:highlight w:val="none"/>
          <w:lang w:eastAsia="zh-CN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银行总行合作办理远期业务市场准入审批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2"/>
        <w:ind w:right="-92" w:rightChars="-44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2"/>
        <w:ind w:right="-92" w:rightChars="-44"/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-92" w:rightChars="-44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-92" w:rightChars="-44" w:firstLine="600" w:firstLineChars="2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  <w:bookmarkStart w:id="0" w:name="_Toc14337288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  <w:bookmarkStart w:id="1" w:name="_Toc11610393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经营或者终止结售汇业务审批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00017111200Y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  <w:bookmarkStart w:id="2" w:name="_Toc11004270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银行总行合作办理远期业务市场准入审批【000171112008】</w:t>
      </w:r>
      <w:bookmarkStart w:id="3" w:name="_Toc93915439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银行总行合作办理远期结售汇业务市场准入审批（00017111200802）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银行总行合作办理远期业务市场准入审批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  <w:bookmarkStart w:id="4" w:name="_Toc3080870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银行办理结售汇业务管理办法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》（中国人民银行令2014年2号）第二条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、第三条</w:t>
      </w:r>
      <w:bookmarkEnd w:id="4"/>
      <w:bookmarkStart w:id="5" w:name="_Toc142641088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《银行办理结售汇业务管理办法实施细则》（汇发〔2014〕53号文印发）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《银行合作办理人民币对外汇衍生品业务细则》（汇发〔2022〕15号文印发）第一条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、第二条</w:t>
      </w:r>
      <w:bookmarkStart w:id="6" w:name="_Toc17851718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《国家外汇管理局行政许可实施办法》（国家外汇管理局公告2021年第1号）</w:t>
      </w:r>
      <w:bookmarkEnd w:id="6"/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申请人所在地国家外汇管理局分局（外汇管理部）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申请人所在地国家外汇管理局分局（外汇管理部）。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具备即期结售汇业务资格，并已开办2年（含）以上。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上年度外汇资产季平均余额在等值2000万美元（含）以上。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近2年银行外汇业务合规与审慎经营评估等级为B级（含）以上。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具有完善的合作办理外汇衍生品业务管理制度。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5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简要说明满足各项申请条件情况，并包括企业客户培育情况、业务计划等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合作办理外汇衍生品业务相关管理制度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业务操作规程、风险管理制度、统计报告制度、会计核算制度等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范本中应明确双方权利和义务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十、申请接受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1.申请人提交申请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2.决定是否予以受理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4.不予许可的，出具不予许可通知书。许可的，向申请人出具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一般程序：申请、受理、审查、出具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二十二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审批时限在20个工作日以内。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二十三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申请材料不完全符合规定，例如合作办理远期结售汇业务相关管理制度包含内容不全等。</w:t>
      </w:r>
    </w:p>
    <w:p>
      <w:pPr>
        <w:ind w:right="-92" w:rightChars="-44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326390</wp:posOffset>
                </wp:positionV>
                <wp:extent cx="5838190" cy="5732145"/>
                <wp:effectExtent l="7620" t="4445" r="21590" b="16510"/>
                <wp:wrapNone/>
                <wp:docPr id="2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0" cy="5732145"/>
                          <a:chOff x="1007" y="3202"/>
                          <a:chExt cx="9194" cy="9027"/>
                        </a:xfrm>
                      </wpg:grpSpPr>
                      <wps:wsp>
                        <wps:cNvPr id="4" name="Straight Connector 493"/>
                        <wps:cNvCnPr/>
                        <wps:spPr>
                          <a:xfrm>
                            <a:off x="5392" y="8652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Straight Connector 494"/>
                        <wps:cNvCnPr/>
                        <wps:spPr>
                          <a:xfrm>
                            <a:off x="6547" y="9623"/>
                            <a:ext cx="17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Straight Connector 495"/>
                        <wps:cNvCnPr/>
                        <wps:spPr>
                          <a:xfrm>
                            <a:off x="4432" y="9623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Straight Connector 496"/>
                        <wps:cNvCnPr/>
                        <wps:spPr>
                          <a:xfrm>
                            <a:off x="2612" y="6826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Connector 497"/>
                        <wps:cNvCnPr/>
                        <wps:spPr>
                          <a:xfrm>
                            <a:off x="2612" y="8217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Rectangle 498"/>
                        <wps:cNvSpPr/>
                        <wps:spPr>
                          <a:xfrm>
                            <a:off x="4839" y="6389"/>
                            <a:ext cx="5362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0" name="Rectangle 499"/>
                        <wps:cNvSpPr/>
                        <wps:spPr>
                          <a:xfrm>
                            <a:off x="3433" y="8049"/>
                            <a:ext cx="410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依法应予受理，出具受理单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Rectangle 500"/>
                        <wps:cNvSpPr/>
                        <wps:spPr>
                          <a:xfrm>
                            <a:off x="3434" y="9089"/>
                            <a:ext cx="425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2" name="Rectangle 501"/>
                        <wps:cNvSpPr/>
                        <wps:spPr>
                          <a:xfrm>
                            <a:off x="3304" y="10528"/>
                            <a:ext cx="1975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-36" w:rightChars="0"/>
                                <w:jc w:val="left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予以许可，向申请人出具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《银行合作办理人民币对外汇衍生品业务准予许可通知书》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3" name="Rectangle 502"/>
                        <wps:cNvSpPr/>
                        <wps:spPr>
                          <a:xfrm>
                            <a:off x="5790" y="10528"/>
                            <a:ext cx="1747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依法作出不予许可决定，并送达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4" name="Straight Connector 503"/>
                        <wps:cNvCnPr/>
                        <wps:spPr>
                          <a:xfrm>
                            <a:off x="2612" y="4693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Straight Connector 504"/>
                        <wps:cNvCnPr/>
                        <wps:spPr>
                          <a:xfrm>
                            <a:off x="3570" y="5789"/>
                            <a:ext cx="1269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Straight Connector 505"/>
                        <wps:cNvCnPr/>
                        <wps:spPr>
                          <a:xfrm>
                            <a:off x="3667" y="6593"/>
                            <a:ext cx="117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Straight Connector 506"/>
                        <wps:cNvCnPr/>
                        <wps:spPr>
                          <a:xfrm flipV="1">
                            <a:off x="8191" y="5266"/>
                            <a:ext cx="0" cy="2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Connector 507"/>
                        <wps:cNvCnPr/>
                        <wps:spPr>
                          <a:xfrm flipH="1">
                            <a:off x="2629" y="4981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Flowchart: Decision 508"/>
                        <wps:cNvSpPr/>
                        <wps:spPr>
                          <a:xfrm>
                            <a:off x="1007" y="5068"/>
                            <a:ext cx="3274" cy="275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接件并当场（或5个工作日）作出是否受理决定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Rectangle 509"/>
                        <wps:cNvSpPr/>
                        <wps:spPr>
                          <a:xfrm>
                            <a:off x="4839" y="5537"/>
                            <a:ext cx="5362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Rectangle 510"/>
                        <wps:cNvSpPr/>
                        <wps:spPr>
                          <a:xfrm>
                            <a:off x="1771" y="3202"/>
                            <a:ext cx="2662" cy="1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申请人以现场、邮寄、国家外汇管理局政务服务网上办理系统等提交材料提出书面申请，并提交材料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2" o:spid="_x0000_s1026" o:spt="203" style="position:absolute;left:0pt;margin-left:-39.65pt;margin-top:25.7pt;height:451.35pt;width:459.7pt;z-index:251661312;mso-width-relative:page;mso-height-relative:page;" coordorigin="1007,3202" coordsize="9194,9027" o:gfxdata="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C7x/ALbAAAACgEAAA8AAAAAAAAA&#10;AQAgAAAAIgAAAGRycy9kb3ducmV2LnhtbFBLAQIUABQAAAAIAIdO4kCrpYP+LAUAAEEqAAAOAAAA&#10;AAAAAAEAIAAAACoBAABkcnMvZTJvRG9jLnhtbFBLBQYAAAAABgAGAFkBAADICAAAAAA=&#10;">
                <o:lock v:ext="edit" aspectratio="f"/>
                <v:shape id="Straight Connector 493" o:spid="_x0000_s1026" o:spt="32" type="#_x0000_t32" style="position:absolute;left:5392;top:8652;height:437;width:0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4" o:spid="_x0000_s1026" o:spt="32" type="#_x0000_t32" style="position:absolute;left:6547;top:9623;height:905;width:17;" filled="f" stroked="t" coordsize="21600,21600" o:gfxdata="UEsDBAoAAAAAAIdO4kAAAAAAAAAAAAAAAAAEAAAAZHJzL1BLAwQUAAAACACHTuJANzXb1rwAAADa&#10;AAAADwAAAGRycy9kb3ducmV2LnhtbEWPT2sCMRTE74V+h/AK3mrWg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129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5" o:spid="_x0000_s1026" o:spt="32" type="#_x0000_t32" style="position:absolute;left:4432;top:9623;height:905;width:1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6" o:spid="_x0000_s1026" o:spt="32" type="#_x0000_t32" style="position:absolute;left:2612;top:6826;height:1391;width: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Straight Connector 497" o:spid="_x0000_s1026" o:spt="32" type="#_x0000_t32" style="position:absolute;left:2612;top:8217;height:0;width:822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498" o:spid="_x0000_s1026" o:spt="1" style="position:absolute;left:4839;top:6389;height:721;width:5362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  <w:p/>
                    </w:txbxContent>
                  </v:textbox>
                </v:rect>
                <v:rect id="Rectangle 499" o:spid="_x0000_s1026" o:spt="1" style="position:absolute;left:3433;top:8049;height:603;width:4104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依法应予受理，出具受理单</w:t>
                        </w:r>
                      </w:p>
                      <w:p/>
                    </w:txbxContent>
                  </v:textbox>
                </v:rect>
                <v:rect id="Rectangle 500" o:spid="_x0000_s1026" o:spt="1" style="position:absolute;left:3434;top:9089;height:534;width:4252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  <w:p/>
                    </w:txbxContent>
                  </v:textbox>
                </v:rect>
                <v:rect id="Rectangle 501" o:spid="_x0000_s1026" o:spt="1" style="position:absolute;left:3304;top:10528;height:1701;width:1975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-36" w:rightChars="0"/>
                          <w:jc w:val="left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予以许可，向申请人出具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《银行合作办理人民币对外汇衍生品业务准予许可通知书》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/>
                    </w:txbxContent>
                  </v:textbox>
                </v:rect>
                <v:rect id="Rectangle 502" o:spid="_x0000_s1026" o:spt="1" style="position:absolute;left:5790;top:10528;height:1172;width:1747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依法作出不予许可决定，并送达</w:t>
                        </w:r>
                      </w:p>
                      <w:p/>
                    </w:txbxContent>
                  </v:textbox>
                </v:rect>
                <v:shape id="Straight Connector 503" o:spid="_x0000_s1026" o:spt="32" type="#_x0000_t32" style="position:absolute;left:2612;top:4693;height:1468;width:17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4" o:spid="_x0000_s1026" o:spt="32" type="#_x0000_t32" style="position:absolute;left:3570;top:5789;height:1;width:1269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5" o:spid="_x0000_s1026" o:spt="32" type="#_x0000_t32" style="position:absolute;left:3667;top:6593;height:0;width:1172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6" o:spid="_x0000_s1026" o:spt="32" type="#_x0000_t32" style="position:absolute;left:8191;top:5266;flip:y;height:271;width:0;" filled="f" stroked="t" coordsize="21600,21600" o:gfxdata="UEsDBAoAAAAAAIdO4kAAAAAAAAAAAAAAAAAEAAAAZHJzL1BLAwQUAAAACACHTuJABBQkILwAAADb&#10;AAAADwAAAGRycy9kb3ducmV2LnhtbEVPTWvCQBC9C/0PyxS8iNkotA3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UJC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7" o:spid="_x0000_s1026" o:spt="32" type="#_x0000_t32" style="position:absolute;left:2629;top:4981;flip:x;height:1;width:4643;" filled="f" stroked="t" coordsize="21600,21600" o:gfxdata="UEsDBAoAAAAAAIdO4kAAAAAAAAAAAAAAAAAEAAAAZHJzL1BLAwQUAAAACACHTuJAdYuwUr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Y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uwU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Flowchart: Decision 508" o:spid="_x0000_s1026" o:spt="110" type="#_x0000_t110" style="position:absolute;left:1007;top:5068;height:2759;width:3274;" fillcolor="#FFFFFF" filled="t" stroked="t" coordsize="21600,21600" o:gfxdata="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F9K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接件并当场（或5个工作日）作出是否受理决定</w:t>
                        </w:r>
                      </w:p>
                      <w:p/>
                    </w:txbxContent>
                  </v:textbox>
                </v:shape>
                <v:rect id="Rectangle 509" o:spid="_x0000_s1026" o:spt="1" style="position:absolute;left:4839;top:5537;height:500;width:536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  <w:p/>
                    </w:txbxContent>
                  </v:textbox>
                </v:rect>
                <v:rect id="Rectangle 510" o:spid="_x0000_s1026" o:spt="1" style="position:absolute;left:1771;top:3202;height:1491;width:266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34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申请人以现场、邮寄、国家外汇管理局政务服务网上办理系统等提交材料提出书面申请，并提交材料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11430</wp:posOffset>
                </wp:positionV>
                <wp:extent cx="1690370" cy="865505"/>
                <wp:effectExtent l="4445" t="4445" r="19685" b="6350"/>
                <wp:wrapNone/>
                <wp:docPr id="2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o:spt="1" style="position:absolute;left:0pt;margin-left:-1.45pt;margin-top:0.9pt;height:68.15pt;width:133.1pt;z-index:251660288;mso-width-relative:page;mso-height-relative:page;" fillcolor="#FFFFFF" filled="t" stroked="t" coordsize="21600,21600" o:gfxdata="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VG0C1gAAAAgBAAAPAAAA&#10;AAAAAAEAIAAAACIAAABkcnMvZG93bnJldi54bWxQSwECFAAUAAAACACHTuJAES0be9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6350</wp:posOffset>
                </wp:positionV>
                <wp:extent cx="1329690" cy="415290"/>
                <wp:effectExtent l="4445" t="4445" r="18415" b="18415"/>
                <wp:wrapNone/>
                <wp:docPr id="1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88" o:spid="_x0000_s1026" o:spt="1" style="position:absolute;left:0pt;margin-left:273.6pt;margin-top:0.5pt;height:32.7pt;width:104.7pt;z-index:251659264;mso-width-relative:page;mso-height-relative:page;" fillcolor="#FFFFFF" filled="t" stroked="t" coordsize="21600,21600" o:gfxdata="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hCTJ21gAAAAgBAAAPAAAA&#10;AAAAAAEAIAAAACIAAABkcnMvZG93bnJldi54bWxQSwECFAAUAAAACACHTuJAZUb4Ud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3F6B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479B3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F4E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0B4F37E2"/>
    <w:rsid w:val="0B5D31E5"/>
    <w:rsid w:val="0F177545"/>
    <w:rsid w:val="16B21388"/>
    <w:rsid w:val="16F465D9"/>
    <w:rsid w:val="1D5453E2"/>
    <w:rsid w:val="20FB0D70"/>
    <w:rsid w:val="2E177DCC"/>
    <w:rsid w:val="2FBA5F21"/>
    <w:rsid w:val="302B2E59"/>
    <w:rsid w:val="33DA7AC6"/>
    <w:rsid w:val="350D22AE"/>
    <w:rsid w:val="3543617D"/>
    <w:rsid w:val="356B68E6"/>
    <w:rsid w:val="35721D9F"/>
    <w:rsid w:val="37282F09"/>
    <w:rsid w:val="37B943A8"/>
    <w:rsid w:val="45F165F5"/>
    <w:rsid w:val="473164C4"/>
    <w:rsid w:val="483643A7"/>
    <w:rsid w:val="57022A45"/>
    <w:rsid w:val="596F5CC8"/>
    <w:rsid w:val="5A9566C1"/>
    <w:rsid w:val="5C4F1FDE"/>
    <w:rsid w:val="640C6DE1"/>
    <w:rsid w:val="6478740D"/>
    <w:rsid w:val="68812FC4"/>
    <w:rsid w:val="6EE966B8"/>
    <w:rsid w:val="6F3E3662"/>
    <w:rsid w:val="6FFD0832"/>
    <w:rsid w:val="70B11708"/>
    <w:rsid w:val="778F60D8"/>
    <w:rsid w:val="77EC549A"/>
    <w:rsid w:val="7C1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</Words>
  <Characters>2253</Characters>
  <Lines>18</Lines>
  <Paragraphs>5</Paragraphs>
  <TotalTime>0</TotalTime>
  <ScaleCrop>false</ScaleCrop>
  <LinksUpToDate>false</LinksUpToDate>
  <CharactersWithSpaces>2643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USER</cp:lastModifiedBy>
  <cp:lastPrinted>2020-05-08T01:02:00Z</cp:lastPrinted>
  <dcterms:modified xsi:type="dcterms:W3CDTF">2023-03-03T00:48:02Z</dcterms:modified>
  <dc:title>编号：57013            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