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utoSpaceDN w:val="0"/>
        <w:snapToGrid w:val="0"/>
        <w:spacing w:before="312" w:beforeLines="100" w:afterLines="0" w:line="240" w:lineRule="auto"/>
        <w:jc w:val="both"/>
        <w:rPr>
          <w:rFonts w:hint="eastAsia" w:ascii="方正小标宋_GBK" w:hAnsi="Calibri" w:eastAsia="方正小标宋_GBK" w:cs="黑体"/>
          <w:b w:val="0"/>
          <w:bCs w:val="0"/>
          <w:color w:val="auto"/>
          <w:kern w:val="2"/>
          <w:sz w:val="44"/>
          <w:szCs w:val="22"/>
          <w:lang w:eastAsia="zh-CN"/>
        </w:rPr>
      </w:pPr>
      <w:r>
        <w:rPr>
          <w:rFonts w:hint="eastAsia" w:ascii="方正小标宋_GBK" w:eastAsia="方正小标宋_GBK" w:cs="黑体"/>
          <w:b w:val="0"/>
          <w:bCs w:val="0"/>
          <w:color w:val="auto"/>
          <w:kern w:val="2"/>
          <w:sz w:val="32"/>
          <w:szCs w:val="32"/>
          <w:lang w:eastAsia="zh-CN"/>
        </w:rPr>
        <w:t>附件</w:t>
      </w:r>
    </w:p>
    <w:p>
      <w:pPr>
        <w:widowControl/>
        <w:autoSpaceDN w:val="0"/>
        <w:snapToGrid w:val="0"/>
        <w:spacing w:before="312" w:beforeLines="100" w:afterLines="0" w:line="240" w:lineRule="auto"/>
        <w:jc w:val="center"/>
        <w:rPr>
          <w:rFonts w:ascii="宋体" w:hAnsi="宋体" w:cs="宋体"/>
          <w:b/>
          <w:bCs/>
          <w:color w:val="000000"/>
          <w:kern w:val="0"/>
          <w:sz w:val="36"/>
          <w:szCs w:val="36"/>
        </w:rPr>
      </w:pPr>
      <w:r>
        <w:rPr>
          <w:rFonts w:hint="eastAsia" w:ascii="方正小标宋_GBK" w:hAnsi="Calibri" w:eastAsia="方正小标宋_GBK" w:cs="黑体"/>
          <w:b w:val="0"/>
          <w:bCs w:val="0"/>
          <w:color w:val="auto"/>
          <w:kern w:val="2"/>
          <w:sz w:val="44"/>
          <w:szCs w:val="22"/>
          <w:lang w:eastAsia="zh-CN"/>
        </w:rPr>
        <w:t>苏州工业园区、昆山市建设金融支持深化两岸产业合作改革创新试验区</w:t>
      </w:r>
      <w:r>
        <w:rPr>
          <w:rFonts w:hint="eastAsia" w:ascii="方正小标宋_GBK" w:hAnsi="Calibri" w:eastAsia="方正小标宋_GBK" w:cs="黑体"/>
          <w:b w:val="0"/>
          <w:bCs w:val="0"/>
          <w:color w:val="auto"/>
          <w:kern w:val="2"/>
          <w:sz w:val="44"/>
          <w:szCs w:val="22"/>
        </w:rPr>
        <w:t>开展</w:t>
      </w:r>
      <w:r>
        <w:rPr>
          <w:rFonts w:hint="eastAsia" w:ascii="方正小标宋_GBK" w:hAnsi="Calibri" w:eastAsia="方正小标宋_GBK" w:cs="黑体"/>
          <w:b w:val="0"/>
          <w:bCs w:val="0"/>
          <w:color w:val="auto"/>
          <w:kern w:val="2"/>
          <w:sz w:val="44"/>
          <w:szCs w:val="22"/>
          <w:lang w:eastAsia="zh-CN"/>
        </w:rPr>
        <w:t>资本项目外汇业务创新</w:t>
      </w:r>
      <w:r>
        <w:rPr>
          <w:rFonts w:hint="eastAsia" w:ascii="方正小标宋_GBK" w:hAnsi="Calibri" w:eastAsia="方正小标宋_GBK" w:cs="黑体"/>
          <w:b w:val="0"/>
          <w:bCs w:val="0"/>
          <w:color w:val="auto"/>
          <w:kern w:val="2"/>
          <w:sz w:val="44"/>
          <w:szCs w:val="22"/>
        </w:rPr>
        <w:t>试点实施细则</w:t>
      </w:r>
    </w:p>
    <w:p>
      <w:pPr>
        <w:autoSpaceDN w:val="0"/>
        <w:snapToGrid w:val="0"/>
        <w:spacing w:beforeLines="0" w:afterLines="0" w:line="360" w:lineRule="auto"/>
        <w:jc w:val="center"/>
        <w:rPr>
          <w:rFonts w:hint="eastAsia" w:ascii="黑体" w:hAnsi="黑体" w:eastAsia="黑体"/>
          <w:color w:val="000000"/>
          <w:kern w:val="0"/>
          <w:sz w:val="32"/>
          <w:szCs w:val="32"/>
        </w:rPr>
      </w:pPr>
    </w:p>
    <w:p>
      <w:pPr>
        <w:autoSpaceDN w:val="0"/>
        <w:snapToGrid w:val="0"/>
        <w:spacing w:beforeLines="0" w:afterLines="0" w:line="360" w:lineRule="auto"/>
        <w:jc w:val="center"/>
        <w:rPr>
          <w:rFonts w:ascii="黑体" w:hAnsi="黑体" w:eastAsia="黑体"/>
          <w:color w:val="000000"/>
          <w:kern w:val="0"/>
          <w:sz w:val="32"/>
          <w:szCs w:val="32"/>
        </w:rPr>
      </w:pPr>
      <w:r>
        <w:rPr>
          <w:rFonts w:hint="eastAsia" w:ascii="黑体" w:hAnsi="黑体" w:eastAsia="黑体"/>
          <w:color w:val="000000"/>
          <w:kern w:val="0"/>
          <w:sz w:val="32"/>
          <w:szCs w:val="32"/>
        </w:rPr>
        <w:t>第一章  总  则</w:t>
      </w:r>
    </w:p>
    <w:p>
      <w:pPr>
        <w:autoSpaceDN w:val="0"/>
        <w:spacing w:beforeLines="0" w:afterLines="0"/>
        <w:ind w:firstLine="641"/>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第一条 </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kern w:val="0"/>
          <w:sz w:val="32"/>
          <w:szCs w:val="32"/>
        </w:rPr>
        <w:t>为支持</w:t>
      </w:r>
      <w:r>
        <w:rPr>
          <w:rFonts w:hint="eastAsia" w:ascii="仿宋" w:hAnsi="仿宋" w:eastAsia="仿宋" w:cs="仿宋"/>
          <w:b w:val="0"/>
          <w:bCs w:val="0"/>
          <w:i w:val="0"/>
          <w:caps w:val="0"/>
          <w:color w:val="000000"/>
          <w:spacing w:val="0"/>
          <w:kern w:val="0"/>
          <w:sz w:val="32"/>
          <w:szCs w:val="32"/>
          <w:shd w:val="clear" w:color="auto" w:fill="auto"/>
          <w:lang w:val="en-US" w:eastAsia="zh-CN"/>
        </w:rPr>
        <w:t>苏州工业园区、昆山市建设金融支持深化两岸产业合作改革创新试验区</w:t>
      </w:r>
      <w:r>
        <w:rPr>
          <w:rFonts w:hint="eastAsia" w:ascii="仿宋" w:hAnsi="仿宋" w:eastAsia="仿宋" w:cs="仿宋"/>
          <w:kern w:val="0"/>
          <w:sz w:val="32"/>
          <w:szCs w:val="32"/>
        </w:rPr>
        <w:t>建设，</w:t>
      </w:r>
      <w:r>
        <w:rPr>
          <w:rFonts w:hint="eastAsia" w:ascii="仿宋" w:hAnsi="仿宋" w:eastAsia="仿宋" w:cs="仿宋"/>
          <w:sz w:val="32"/>
          <w:szCs w:val="32"/>
        </w:rPr>
        <w:t>落实《国家外汇管理局关于在苏州工业园区、昆山市建设金融支持深化两岸产业合作改革创新试验区开展资本项目外汇业务创新试点的批复》（汇复〔202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color w:val="000000"/>
          <w:sz w:val="32"/>
          <w:szCs w:val="32"/>
          <w:lang w:val="en-US" w:eastAsia="zh-CN"/>
        </w:rPr>
        <w:t>47</w:t>
      </w:r>
      <w:r>
        <w:rPr>
          <w:rFonts w:hint="eastAsia" w:ascii="仿宋" w:hAnsi="仿宋" w:eastAsia="仿宋" w:cs="仿宋"/>
          <w:sz w:val="32"/>
          <w:szCs w:val="32"/>
        </w:rPr>
        <w:t>号）要求</w:t>
      </w:r>
      <w:r>
        <w:rPr>
          <w:rFonts w:hint="eastAsia" w:ascii="仿宋" w:hAnsi="仿宋" w:eastAsia="仿宋" w:cs="仿宋"/>
          <w:kern w:val="0"/>
          <w:sz w:val="32"/>
          <w:szCs w:val="32"/>
        </w:rPr>
        <w:t>，</w:t>
      </w:r>
      <w:r>
        <w:rPr>
          <w:rFonts w:hint="eastAsia" w:ascii="仿宋" w:hAnsi="仿宋" w:eastAsia="仿宋" w:cs="仿宋"/>
          <w:color w:val="000000"/>
          <w:kern w:val="0"/>
          <w:sz w:val="32"/>
          <w:szCs w:val="32"/>
        </w:rPr>
        <w:t>经国家外汇管理局批准，</w:t>
      </w:r>
      <w:r>
        <w:rPr>
          <w:rFonts w:hint="eastAsia" w:ascii="仿宋" w:hAnsi="仿宋" w:eastAsia="仿宋" w:cs="仿宋"/>
          <w:sz w:val="32"/>
          <w:szCs w:val="32"/>
        </w:rPr>
        <w:t>根据《</w:t>
      </w:r>
      <w:r>
        <w:rPr>
          <w:rFonts w:hint="eastAsia" w:ascii="仿宋" w:hAnsi="仿宋" w:eastAsia="仿宋" w:cs="仿宋"/>
          <w:sz w:val="32"/>
          <w:szCs w:val="32"/>
          <w:lang w:eastAsia="zh-CN"/>
        </w:rPr>
        <w:t>中华人民共和国</w:t>
      </w:r>
      <w:r>
        <w:rPr>
          <w:rFonts w:hint="eastAsia" w:ascii="仿宋" w:hAnsi="仿宋" w:eastAsia="仿宋" w:cs="仿宋"/>
          <w:sz w:val="32"/>
          <w:szCs w:val="32"/>
        </w:rPr>
        <w:t>中国人民银行法》、《</w:t>
      </w:r>
      <w:r>
        <w:rPr>
          <w:rFonts w:hint="eastAsia" w:ascii="仿宋" w:hAnsi="仿宋" w:eastAsia="仿宋" w:cs="仿宋"/>
          <w:sz w:val="32"/>
          <w:szCs w:val="32"/>
          <w:lang w:eastAsia="zh-CN"/>
        </w:rPr>
        <w:t>中华人民共和国</w:t>
      </w:r>
      <w:r>
        <w:rPr>
          <w:rFonts w:hint="eastAsia" w:ascii="仿宋" w:hAnsi="仿宋" w:eastAsia="仿宋" w:cs="仿宋"/>
          <w:color w:val="000000"/>
          <w:kern w:val="0"/>
          <w:sz w:val="32"/>
          <w:szCs w:val="32"/>
        </w:rPr>
        <w:t>外汇管理条例</w:t>
      </w:r>
      <w:r>
        <w:rPr>
          <w:rFonts w:hint="eastAsia" w:ascii="仿宋" w:hAnsi="仿宋" w:eastAsia="仿宋" w:cs="仿宋"/>
          <w:sz w:val="32"/>
          <w:szCs w:val="32"/>
        </w:rPr>
        <w:t>》和其他相关法律法规</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rPr>
        <w:t>制定本实施细则。</w:t>
      </w:r>
    </w:p>
    <w:p>
      <w:pPr>
        <w:autoSpaceDN w:val="0"/>
        <w:spacing w:beforeLines="0" w:afterLines="0"/>
        <w:ind w:firstLine="640"/>
        <w:rPr>
          <w:rFonts w:hint="eastAsia" w:ascii="仿宋" w:hAnsi="仿宋" w:eastAsia="仿宋" w:cs="仿宋"/>
          <w:b/>
          <w:bCs/>
          <w:color w:val="000000"/>
          <w:kern w:val="0"/>
          <w:sz w:val="32"/>
          <w:szCs w:val="32"/>
        </w:rPr>
      </w:pPr>
      <w:r>
        <w:rPr>
          <w:rFonts w:hint="eastAsia" w:ascii="仿宋" w:hAnsi="仿宋" w:eastAsia="仿宋" w:cs="仿宋"/>
          <w:b/>
          <w:sz w:val="32"/>
          <w:szCs w:val="32"/>
        </w:rPr>
        <w:t>第二条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val="en-US" w:eastAsia="zh-CN"/>
        </w:rPr>
        <w:t>本实施细则所称试点区域是指苏州工业园区和昆山市建设金融支持深化两岸产业合作改革创新试验区。</w:t>
      </w:r>
    </w:p>
    <w:p>
      <w:pPr>
        <w:autoSpaceDN w:val="0"/>
        <w:spacing w:beforeLines="0" w:afterLines="0"/>
        <w:ind w:firstLine="64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三</w:t>
      </w:r>
      <w:r>
        <w:rPr>
          <w:rFonts w:hint="eastAsia" w:ascii="仿宋" w:hAnsi="仿宋" w:eastAsia="仿宋" w:cs="仿宋"/>
          <w:b/>
          <w:bCs/>
          <w:color w:val="000000"/>
          <w:kern w:val="0"/>
          <w:sz w:val="32"/>
          <w:szCs w:val="32"/>
        </w:rPr>
        <w:t xml:space="preserve">条 </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b w:val="0"/>
          <w:bCs w:val="0"/>
          <w:color w:val="auto"/>
          <w:kern w:val="0"/>
          <w:sz w:val="32"/>
          <w:szCs w:val="32"/>
          <w:lang w:val="en-US" w:eastAsia="zh-CN"/>
        </w:rPr>
        <w:t>国家外汇管理局</w:t>
      </w:r>
      <w:r>
        <w:rPr>
          <w:rFonts w:hint="eastAsia" w:ascii="仿宋" w:hAnsi="仿宋" w:eastAsia="仿宋" w:cs="仿宋"/>
          <w:color w:val="auto"/>
          <w:kern w:val="0"/>
          <w:sz w:val="32"/>
          <w:szCs w:val="32"/>
          <w:lang w:eastAsia="zh-CN"/>
        </w:rPr>
        <w:t>江苏省</w:t>
      </w:r>
      <w:r>
        <w:rPr>
          <w:rFonts w:hint="eastAsia" w:ascii="仿宋" w:hAnsi="仿宋" w:eastAsia="仿宋" w:cs="仿宋"/>
          <w:color w:val="auto"/>
          <w:kern w:val="0"/>
          <w:sz w:val="32"/>
          <w:szCs w:val="32"/>
        </w:rPr>
        <w:t>分局</w:t>
      </w:r>
      <w:r>
        <w:rPr>
          <w:rFonts w:hint="eastAsia" w:ascii="仿宋" w:hAnsi="仿宋" w:eastAsia="仿宋" w:cs="仿宋"/>
          <w:color w:val="auto"/>
          <w:kern w:val="0"/>
          <w:sz w:val="32"/>
          <w:szCs w:val="32"/>
          <w:lang w:eastAsia="zh-CN"/>
        </w:rPr>
        <w:t>（以下简称“江苏省分局”）稳妥有序推进资本项目外汇业务创新试点</w:t>
      </w:r>
      <w:r>
        <w:rPr>
          <w:rFonts w:hint="eastAsia" w:ascii="仿宋" w:hAnsi="仿宋" w:eastAsia="仿宋" w:cs="仿宋"/>
          <w:color w:val="auto"/>
          <w:kern w:val="0"/>
          <w:sz w:val="32"/>
          <w:szCs w:val="32"/>
        </w:rPr>
        <w:t>（以下简称</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试点业务</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工作。国家外汇管理局苏州市中心支局、昆山市支局（以下简称“试点区域外汇局”）具体负责</w:t>
      </w:r>
      <w:r>
        <w:rPr>
          <w:rFonts w:hint="eastAsia" w:ascii="仿宋" w:hAnsi="仿宋" w:eastAsia="仿宋" w:cs="仿宋"/>
          <w:color w:val="auto"/>
          <w:kern w:val="0"/>
          <w:sz w:val="32"/>
          <w:szCs w:val="32"/>
        </w:rPr>
        <w:t>监督管理</w:t>
      </w:r>
      <w:r>
        <w:rPr>
          <w:rFonts w:hint="eastAsia" w:ascii="仿宋" w:hAnsi="仿宋" w:eastAsia="仿宋" w:cs="仿宋"/>
          <w:color w:val="auto"/>
          <w:kern w:val="0"/>
          <w:sz w:val="32"/>
          <w:szCs w:val="32"/>
          <w:lang w:eastAsia="zh-CN"/>
        </w:rPr>
        <w:t>试点区域</w:t>
      </w:r>
      <w:r>
        <w:rPr>
          <w:rFonts w:hint="eastAsia" w:ascii="仿宋" w:hAnsi="仿宋" w:eastAsia="仿宋" w:cs="仿宋"/>
          <w:color w:val="auto"/>
          <w:kern w:val="0"/>
          <w:sz w:val="32"/>
          <w:szCs w:val="32"/>
        </w:rPr>
        <w:t>试点</w:t>
      </w:r>
      <w:r>
        <w:rPr>
          <w:rFonts w:hint="eastAsia" w:ascii="仿宋" w:hAnsi="仿宋" w:eastAsia="仿宋" w:cs="仿宋"/>
          <w:color w:val="auto"/>
          <w:kern w:val="0"/>
          <w:sz w:val="32"/>
          <w:szCs w:val="32"/>
          <w:lang w:eastAsia="zh-CN"/>
        </w:rPr>
        <w:t>业务</w:t>
      </w:r>
      <w:r>
        <w:rPr>
          <w:rFonts w:hint="eastAsia" w:ascii="仿宋" w:hAnsi="仿宋" w:eastAsia="仿宋" w:cs="仿宋"/>
          <w:color w:val="auto"/>
          <w:kern w:val="0"/>
          <w:sz w:val="32"/>
          <w:szCs w:val="32"/>
        </w:rPr>
        <w:t>外汇登记、账户开立、资金划转、结售汇、本外币数据统计监测等事项。</w:t>
      </w:r>
    </w:p>
    <w:p>
      <w:pPr>
        <w:autoSpaceDN w:val="0"/>
        <w:spacing w:beforeLines="0" w:afterLines="0"/>
        <w:ind w:firstLine="64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四</w:t>
      </w:r>
      <w:r>
        <w:rPr>
          <w:rFonts w:hint="eastAsia" w:ascii="仿宋" w:hAnsi="仿宋" w:eastAsia="仿宋" w:cs="仿宋"/>
          <w:b/>
          <w:bCs/>
          <w:color w:val="000000"/>
          <w:kern w:val="0"/>
          <w:sz w:val="32"/>
          <w:szCs w:val="32"/>
        </w:rPr>
        <w:t xml:space="preserve">条 </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color w:val="000000"/>
          <w:kern w:val="0"/>
          <w:sz w:val="32"/>
          <w:szCs w:val="32"/>
        </w:rPr>
        <w:t>办理本</w:t>
      </w:r>
      <w:r>
        <w:rPr>
          <w:rFonts w:hint="eastAsia" w:ascii="仿宋" w:hAnsi="仿宋" w:eastAsia="仿宋" w:cs="仿宋"/>
          <w:color w:val="000000"/>
          <w:kern w:val="0"/>
          <w:sz w:val="32"/>
          <w:szCs w:val="32"/>
          <w:lang w:eastAsia="zh-CN"/>
        </w:rPr>
        <w:t>实施</w:t>
      </w:r>
      <w:r>
        <w:rPr>
          <w:rFonts w:hint="eastAsia" w:ascii="仿宋" w:hAnsi="仿宋" w:eastAsia="仿宋" w:cs="仿宋"/>
          <w:color w:val="000000"/>
          <w:kern w:val="0"/>
          <w:sz w:val="32"/>
          <w:szCs w:val="32"/>
        </w:rPr>
        <w:t>细则规定的</w:t>
      </w:r>
      <w:r>
        <w:rPr>
          <w:rFonts w:hint="eastAsia" w:ascii="仿宋" w:hAnsi="仿宋" w:eastAsia="仿宋" w:cs="仿宋"/>
          <w:color w:val="000000"/>
          <w:kern w:val="0"/>
          <w:sz w:val="32"/>
          <w:szCs w:val="32"/>
          <w:lang w:eastAsia="zh-CN"/>
        </w:rPr>
        <w:t>相关</w:t>
      </w:r>
      <w:r>
        <w:rPr>
          <w:rFonts w:hint="eastAsia" w:ascii="仿宋" w:hAnsi="仿宋" w:eastAsia="仿宋" w:cs="仿宋"/>
          <w:color w:val="000000"/>
          <w:kern w:val="0"/>
          <w:sz w:val="32"/>
          <w:szCs w:val="32"/>
        </w:rPr>
        <w:t>试点业务</w:t>
      </w:r>
      <w:r>
        <w:rPr>
          <w:rFonts w:hint="eastAsia" w:ascii="仿宋" w:hAnsi="仿宋" w:eastAsia="仿宋" w:cs="仿宋"/>
          <w:color w:val="000000"/>
          <w:kern w:val="0"/>
          <w:sz w:val="32"/>
          <w:szCs w:val="32"/>
          <w:lang w:eastAsia="zh-CN"/>
        </w:rPr>
        <w:t>的企业（以下简称“试点企业”）</w:t>
      </w:r>
      <w:r>
        <w:rPr>
          <w:rFonts w:hint="eastAsia" w:ascii="仿宋" w:hAnsi="仿宋" w:eastAsia="仿宋" w:cs="仿宋"/>
          <w:color w:val="000000"/>
          <w:kern w:val="0"/>
          <w:sz w:val="32"/>
          <w:szCs w:val="32"/>
        </w:rPr>
        <w:t>应当按照本实施细则及相关规定</w:t>
      </w:r>
      <w:r>
        <w:rPr>
          <w:rFonts w:hint="eastAsia" w:ascii="仿宋" w:hAnsi="仿宋" w:eastAsia="仿宋" w:cs="仿宋"/>
          <w:color w:val="000000"/>
          <w:kern w:val="0"/>
          <w:sz w:val="32"/>
          <w:szCs w:val="32"/>
          <w:lang w:eastAsia="zh-CN"/>
        </w:rPr>
        <w:t>开展</w:t>
      </w:r>
      <w:r>
        <w:rPr>
          <w:rFonts w:hint="eastAsia" w:ascii="仿宋" w:hAnsi="仿宋" w:eastAsia="仿宋" w:cs="仿宋"/>
          <w:color w:val="000000"/>
          <w:kern w:val="0"/>
          <w:sz w:val="32"/>
          <w:szCs w:val="32"/>
        </w:rPr>
        <w:t>外汇业务；按相关外汇管理规定，及时、准确、完整地向</w:t>
      </w:r>
      <w:r>
        <w:rPr>
          <w:rFonts w:hint="eastAsia" w:ascii="仿宋" w:hAnsi="仿宋" w:eastAsia="仿宋" w:cs="仿宋"/>
          <w:color w:val="000000"/>
          <w:kern w:val="0"/>
          <w:sz w:val="32"/>
          <w:szCs w:val="32"/>
          <w:lang w:eastAsia="zh-CN"/>
        </w:rPr>
        <w:t>试点区域</w:t>
      </w:r>
      <w:r>
        <w:rPr>
          <w:rFonts w:hint="eastAsia" w:ascii="仿宋" w:hAnsi="仿宋" w:eastAsia="仿宋" w:cs="仿宋"/>
          <w:color w:val="000000"/>
          <w:kern w:val="0"/>
          <w:sz w:val="32"/>
          <w:szCs w:val="32"/>
        </w:rPr>
        <w:t>外汇局报送相关数据信息，配合监督检查和调查。</w:t>
      </w:r>
    </w:p>
    <w:p>
      <w:pPr>
        <w:autoSpaceDN w:val="0"/>
        <w:spacing w:beforeLines="0" w:afterLines="0"/>
        <w:ind w:firstLine="64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办理试点业务的</w:t>
      </w:r>
      <w:r>
        <w:rPr>
          <w:rFonts w:hint="eastAsia" w:ascii="仿宋" w:hAnsi="仿宋" w:eastAsia="仿宋" w:cs="仿宋"/>
          <w:color w:val="000000"/>
          <w:kern w:val="0"/>
          <w:sz w:val="32"/>
          <w:szCs w:val="32"/>
        </w:rPr>
        <w:t>银行应当建立健全内控制度，按照了解客户、了解业务、尽职审查</w:t>
      </w:r>
      <w:r>
        <w:rPr>
          <w:rFonts w:hint="eastAsia" w:ascii="仿宋" w:hAnsi="仿宋" w:eastAsia="仿宋" w:cs="仿宋"/>
          <w:color w:val="000000"/>
          <w:kern w:val="0"/>
          <w:sz w:val="32"/>
          <w:szCs w:val="32"/>
          <w:lang w:eastAsia="zh-CN"/>
        </w:rPr>
        <w:t>等</w:t>
      </w:r>
      <w:r>
        <w:rPr>
          <w:rFonts w:hint="eastAsia" w:ascii="仿宋" w:hAnsi="仿宋" w:eastAsia="仿宋" w:cs="仿宋"/>
          <w:color w:val="000000"/>
          <w:kern w:val="0"/>
          <w:sz w:val="32"/>
          <w:szCs w:val="32"/>
        </w:rPr>
        <w:t>展业原则完善全业务流程的真实性和合规性审查机制，严格履行数据及异常可疑信息报送义务。</w:t>
      </w:r>
    </w:p>
    <w:p>
      <w:pPr>
        <w:widowControl w:val="0"/>
        <w:autoSpaceDN w:val="0"/>
        <w:ind w:firstLine="640" w:firstLineChars="0"/>
        <w:rPr>
          <w:rFonts w:ascii="黑体" w:hAnsi="黑体" w:eastAsia="黑体"/>
          <w:color w:val="000000"/>
          <w:kern w:val="0"/>
          <w:sz w:val="32"/>
          <w:szCs w:val="32"/>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五</w:t>
      </w:r>
      <w:r>
        <w:rPr>
          <w:rFonts w:hint="eastAsia" w:ascii="仿宋" w:hAnsi="仿宋" w:eastAsia="仿宋" w:cs="仿宋"/>
          <w:b/>
          <w:bCs/>
          <w:color w:val="000000"/>
          <w:kern w:val="0"/>
          <w:sz w:val="32"/>
          <w:szCs w:val="32"/>
        </w:rPr>
        <w:t xml:space="preserve">条 </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color w:val="000000"/>
          <w:kern w:val="0"/>
          <w:sz w:val="32"/>
          <w:szCs w:val="32"/>
        </w:rPr>
        <w:t>试点</w:t>
      </w:r>
      <w:r>
        <w:rPr>
          <w:rFonts w:hint="eastAsia" w:ascii="仿宋" w:hAnsi="仿宋" w:eastAsia="仿宋" w:cs="仿宋"/>
          <w:color w:val="000000"/>
          <w:kern w:val="0"/>
          <w:sz w:val="32"/>
          <w:szCs w:val="32"/>
          <w:lang w:eastAsia="zh-CN"/>
        </w:rPr>
        <w:t>业务</w:t>
      </w:r>
      <w:r>
        <w:rPr>
          <w:rFonts w:hint="eastAsia" w:ascii="仿宋" w:hAnsi="仿宋" w:eastAsia="仿宋" w:cs="仿宋"/>
          <w:color w:val="000000"/>
          <w:kern w:val="0"/>
          <w:sz w:val="32"/>
          <w:szCs w:val="32"/>
        </w:rPr>
        <w:t>应当具有真实合法</w:t>
      </w:r>
      <w:r>
        <w:rPr>
          <w:rFonts w:hint="eastAsia" w:ascii="仿宋" w:hAnsi="仿宋" w:eastAsia="仿宋" w:cs="仿宋"/>
          <w:color w:val="000000"/>
          <w:kern w:val="0"/>
          <w:sz w:val="32"/>
          <w:szCs w:val="32"/>
          <w:lang w:eastAsia="zh-CN"/>
        </w:rPr>
        <w:t>的</w:t>
      </w:r>
      <w:r>
        <w:rPr>
          <w:rFonts w:hint="eastAsia" w:ascii="仿宋" w:hAnsi="仿宋" w:eastAsia="仿宋" w:cs="仿宋"/>
          <w:color w:val="000000"/>
          <w:kern w:val="0"/>
          <w:sz w:val="32"/>
          <w:szCs w:val="32"/>
        </w:rPr>
        <w:t>交易基础</w:t>
      </w:r>
      <w:r>
        <w:rPr>
          <w:rFonts w:hint="eastAsia" w:ascii="仿宋" w:hAnsi="仿宋" w:eastAsia="仿宋" w:cs="仿宋"/>
          <w:color w:val="000000"/>
          <w:kern w:val="0"/>
          <w:sz w:val="32"/>
          <w:szCs w:val="32"/>
          <w:lang w:eastAsia="zh-CN"/>
        </w:rPr>
        <w:t>。试点企业</w:t>
      </w:r>
      <w:r>
        <w:rPr>
          <w:rFonts w:hint="eastAsia" w:ascii="仿宋" w:hAnsi="仿宋" w:eastAsia="仿宋" w:cs="仿宋"/>
          <w:color w:val="000000"/>
          <w:kern w:val="0"/>
          <w:sz w:val="32"/>
          <w:szCs w:val="32"/>
        </w:rPr>
        <w:t>原则上应通过账户办理外汇业务（另有规定除外），不得使用虚假合同等凭证构造交易。</w:t>
      </w:r>
    </w:p>
    <w:p>
      <w:pPr>
        <w:autoSpaceDN w:val="0"/>
        <w:snapToGrid w:val="0"/>
        <w:spacing w:beforeLines="0" w:afterLines="0" w:line="360" w:lineRule="auto"/>
        <w:jc w:val="center"/>
        <w:rPr>
          <w:rFonts w:hint="eastAsia" w:ascii="黑体" w:hAnsi="黑体" w:eastAsia="黑体"/>
          <w:color w:val="000000"/>
          <w:kern w:val="0"/>
          <w:sz w:val="32"/>
          <w:szCs w:val="32"/>
        </w:rPr>
      </w:pPr>
    </w:p>
    <w:p>
      <w:pPr>
        <w:autoSpaceDN w:val="0"/>
        <w:snapToGrid w:val="0"/>
        <w:spacing w:beforeLines="0" w:afterLines="0" w:line="360" w:lineRule="auto"/>
        <w:jc w:val="center"/>
        <w:rPr>
          <w:rFonts w:ascii="黑体" w:hAnsi="黑体" w:eastAsia="黑体"/>
          <w:color w:val="000000"/>
          <w:kern w:val="0"/>
          <w:sz w:val="32"/>
          <w:szCs w:val="32"/>
        </w:rPr>
      </w:pPr>
      <w:r>
        <w:rPr>
          <w:rFonts w:hint="eastAsia" w:ascii="黑体" w:hAnsi="黑体" w:eastAsia="黑体"/>
          <w:color w:val="000000"/>
          <w:kern w:val="0"/>
          <w:sz w:val="32"/>
          <w:szCs w:val="32"/>
        </w:rPr>
        <w:t>第</w:t>
      </w:r>
      <w:r>
        <w:rPr>
          <w:rFonts w:hint="eastAsia" w:ascii="黑体" w:hAnsi="黑体" w:eastAsia="黑体"/>
          <w:color w:val="000000"/>
          <w:kern w:val="0"/>
          <w:sz w:val="32"/>
          <w:szCs w:val="32"/>
          <w:lang w:eastAsia="zh-CN"/>
        </w:rPr>
        <w:t>二</w:t>
      </w:r>
      <w:r>
        <w:rPr>
          <w:rFonts w:hint="eastAsia" w:ascii="黑体" w:hAnsi="黑体" w:eastAsia="黑体"/>
          <w:color w:val="000000"/>
          <w:kern w:val="0"/>
          <w:sz w:val="32"/>
          <w:szCs w:val="32"/>
        </w:rPr>
        <w:t xml:space="preserve">章  </w:t>
      </w:r>
      <w:r>
        <w:rPr>
          <w:rFonts w:hint="eastAsia" w:ascii="黑体" w:hAnsi="黑体" w:eastAsia="黑体"/>
          <w:color w:val="000000"/>
          <w:kern w:val="0"/>
          <w:sz w:val="32"/>
          <w:szCs w:val="32"/>
          <w:lang w:val="en-US" w:eastAsia="zh-CN"/>
        </w:rPr>
        <w:t>试点</w:t>
      </w:r>
      <w:r>
        <w:rPr>
          <w:rFonts w:hint="eastAsia" w:ascii="黑体" w:hAnsi="黑体" w:eastAsia="黑体"/>
          <w:color w:val="000000"/>
          <w:kern w:val="0"/>
          <w:sz w:val="32"/>
          <w:szCs w:val="32"/>
        </w:rPr>
        <w:t>业务</w:t>
      </w:r>
    </w:p>
    <w:p>
      <w:pPr>
        <w:spacing w:beforeLines="0" w:afterLines="0"/>
        <w:ind w:firstLine="640" w:firstLineChars="200"/>
        <w:rPr>
          <w:rFonts w:hint="eastAsia" w:ascii="仿宋" w:hAnsi="仿宋" w:eastAsia="仿宋" w:cs="仿宋"/>
          <w:b/>
          <w:bCs/>
          <w:color w:val="0000FF"/>
          <w:kern w:val="0"/>
          <w:sz w:val="32"/>
          <w:szCs w:val="32"/>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六</w:t>
      </w:r>
      <w:r>
        <w:rPr>
          <w:rFonts w:hint="eastAsia" w:ascii="仿宋" w:hAnsi="仿宋" w:eastAsia="仿宋" w:cs="仿宋"/>
          <w:b/>
          <w:bCs/>
          <w:color w:val="000000"/>
          <w:kern w:val="0"/>
          <w:sz w:val="32"/>
          <w:szCs w:val="32"/>
        </w:rPr>
        <w:t xml:space="preserve">条 </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color w:val="000000"/>
          <w:kern w:val="0"/>
          <w:sz w:val="32"/>
          <w:szCs w:val="32"/>
        </w:rPr>
        <w:t>在遵循风险可控、审慎管理原则下，</w:t>
      </w:r>
      <w:r>
        <w:rPr>
          <w:rFonts w:hint="eastAsia" w:ascii="仿宋" w:hAnsi="仿宋" w:eastAsia="仿宋" w:cs="仿宋"/>
          <w:color w:val="000000"/>
          <w:kern w:val="0"/>
          <w:sz w:val="32"/>
          <w:szCs w:val="32"/>
          <w:lang w:val="en-US" w:eastAsia="zh-CN"/>
        </w:rPr>
        <w:t>在试点区域内</w:t>
      </w:r>
      <w:r>
        <w:rPr>
          <w:rFonts w:hint="eastAsia" w:ascii="仿宋" w:hAnsi="仿宋" w:eastAsia="仿宋" w:cs="仿宋"/>
          <w:color w:val="000000"/>
          <w:kern w:val="0"/>
          <w:sz w:val="32"/>
          <w:szCs w:val="32"/>
          <w:lang w:eastAsia="zh-CN"/>
        </w:rPr>
        <w:t>开</w:t>
      </w:r>
      <w:r>
        <w:rPr>
          <w:rFonts w:hint="eastAsia" w:ascii="仿宋" w:hAnsi="仿宋" w:eastAsia="仿宋" w:cs="仿宋"/>
          <w:color w:val="000000"/>
          <w:kern w:val="0"/>
          <w:sz w:val="32"/>
          <w:szCs w:val="32"/>
        </w:rPr>
        <w:t>展</w:t>
      </w:r>
      <w:r>
        <w:rPr>
          <w:rFonts w:hint="eastAsia" w:ascii="仿宋" w:hAnsi="仿宋" w:eastAsia="仿宋" w:cs="仿宋"/>
          <w:color w:val="000000"/>
          <w:kern w:val="0"/>
          <w:sz w:val="32"/>
          <w:szCs w:val="32"/>
          <w:lang w:eastAsia="zh-CN"/>
        </w:rPr>
        <w:t>信贷资产跨境转让试点，</w:t>
      </w:r>
      <w:r>
        <w:rPr>
          <w:rFonts w:hint="eastAsia" w:ascii="仿宋" w:hAnsi="仿宋" w:eastAsia="仿宋" w:cs="仿宋"/>
          <w:color w:val="auto"/>
          <w:kern w:val="0"/>
          <w:sz w:val="32"/>
          <w:szCs w:val="32"/>
          <w:lang w:eastAsia="zh-CN"/>
        </w:rPr>
        <w:t>允许试点区域内的银行和代理机构对外转让银行不良信贷和银行贸易融资资产在内的信贷资产</w:t>
      </w:r>
      <w:r>
        <w:rPr>
          <w:rFonts w:hint="eastAsia" w:ascii="仿宋" w:hAnsi="仿宋" w:eastAsia="仿宋" w:cs="仿宋"/>
          <w:color w:val="auto"/>
          <w:kern w:val="0"/>
          <w:sz w:val="32"/>
          <w:szCs w:val="32"/>
        </w:rPr>
        <w:t>；</w:t>
      </w:r>
      <w:r>
        <w:rPr>
          <w:rFonts w:hint="eastAsia" w:ascii="仿宋" w:hAnsi="仿宋" w:eastAsia="仿宋" w:cs="仿宋"/>
          <w:color w:val="000000"/>
          <w:kern w:val="0"/>
          <w:sz w:val="32"/>
          <w:szCs w:val="32"/>
        </w:rPr>
        <w:t>允许试点区域</w:t>
      </w:r>
      <w:r>
        <w:rPr>
          <w:rFonts w:hint="eastAsia" w:ascii="仿宋" w:hAnsi="仿宋" w:eastAsia="仿宋" w:cs="仿宋"/>
          <w:color w:val="000000"/>
          <w:kern w:val="0"/>
          <w:sz w:val="32"/>
          <w:szCs w:val="32"/>
          <w:lang w:eastAsia="zh-CN"/>
        </w:rPr>
        <w:t>内</w:t>
      </w:r>
      <w:r>
        <w:rPr>
          <w:rFonts w:hint="eastAsia" w:ascii="仿宋" w:hAnsi="仿宋" w:eastAsia="仿宋" w:cs="仿宋"/>
          <w:color w:val="000000"/>
          <w:kern w:val="0"/>
          <w:sz w:val="32"/>
          <w:szCs w:val="32"/>
        </w:rPr>
        <w:t>金融机构受让符合条件的境外金融资产（详细操作指引见</w:t>
      </w:r>
      <w:r>
        <w:rPr>
          <w:rFonts w:hint="eastAsia" w:ascii="仿宋" w:hAnsi="仿宋" w:eastAsia="仿宋" w:cs="仿宋"/>
          <w:color w:val="000000"/>
          <w:kern w:val="0"/>
          <w:sz w:val="32"/>
          <w:szCs w:val="32"/>
          <w:lang w:eastAsia="zh-CN"/>
        </w:rPr>
        <w:t>附</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w:t>
      </w:r>
    </w:p>
    <w:p>
      <w:pPr>
        <w:spacing w:beforeLines="0" w:afterLines="0"/>
        <w:ind w:firstLine="640" w:firstLineChars="200"/>
        <w:rPr>
          <w:rFonts w:hint="eastAsia" w:ascii="仿宋" w:hAnsi="仿宋" w:eastAsia="仿宋" w:cs="仿宋"/>
          <w:b/>
          <w:bCs/>
          <w:color w:val="0000FF"/>
          <w:kern w:val="0"/>
          <w:sz w:val="32"/>
          <w:szCs w:val="32"/>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七</w:t>
      </w:r>
      <w:r>
        <w:rPr>
          <w:rFonts w:hint="eastAsia" w:ascii="仿宋" w:hAnsi="仿宋" w:eastAsia="仿宋" w:cs="仿宋"/>
          <w:b/>
          <w:bCs/>
          <w:color w:val="000000"/>
          <w:kern w:val="0"/>
          <w:sz w:val="32"/>
          <w:szCs w:val="32"/>
        </w:rPr>
        <w:t xml:space="preserve">条 </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color w:val="000000"/>
          <w:kern w:val="0"/>
          <w:sz w:val="32"/>
          <w:szCs w:val="32"/>
        </w:rPr>
        <w:t>在试点区域</w:t>
      </w:r>
      <w:r>
        <w:rPr>
          <w:rFonts w:hint="eastAsia" w:ascii="仿宋" w:hAnsi="仿宋" w:eastAsia="仿宋" w:cs="仿宋"/>
          <w:color w:val="000000"/>
          <w:kern w:val="0"/>
          <w:sz w:val="32"/>
          <w:szCs w:val="32"/>
          <w:lang w:eastAsia="zh-CN"/>
        </w:rPr>
        <w:t>内</w:t>
      </w:r>
      <w:r>
        <w:rPr>
          <w:rFonts w:hint="eastAsia" w:ascii="仿宋" w:hAnsi="仿宋" w:eastAsia="仿宋" w:cs="仿宋"/>
          <w:color w:val="000000"/>
          <w:kern w:val="0"/>
          <w:sz w:val="32"/>
          <w:szCs w:val="32"/>
        </w:rPr>
        <w:t>开展跨国公司本外币一体化资金池试点，进一步便利跨国公司跨境资金统筹使用，支持和促进试点区域总部经济发展（</w:t>
      </w:r>
      <w:r>
        <w:rPr>
          <w:rFonts w:hint="eastAsia" w:ascii="仿宋" w:hAnsi="仿宋" w:eastAsia="仿宋" w:cs="仿宋"/>
          <w:color w:val="auto"/>
          <w:kern w:val="0"/>
          <w:sz w:val="32"/>
          <w:szCs w:val="32"/>
        </w:rPr>
        <w:t>详细</w:t>
      </w:r>
      <w:r>
        <w:rPr>
          <w:rFonts w:hint="eastAsia" w:ascii="仿宋" w:hAnsi="仿宋" w:eastAsia="仿宋" w:cs="仿宋"/>
          <w:color w:val="auto"/>
          <w:kern w:val="0"/>
          <w:sz w:val="32"/>
          <w:szCs w:val="32"/>
          <w:lang w:eastAsia="zh-CN"/>
        </w:rPr>
        <w:t>操作指引</w:t>
      </w:r>
      <w:r>
        <w:rPr>
          <w:rFonts w:hint="eastAsia" w:ascii="仿宋" w:hAnsi="仿宋" w:eastAsia="仿宋" w:cs="仿宋"/>
          <w:color w:val="auto"/>
          <w:kern w:val="0"/>
          <w:sz w:val="32"/>
          <w:szCs w:val="32"/>
        </w:rPr>
        <w:t>见</w:t>
      </w:r>
      <w:r>
        <w:rPr>
          <w:rFonts w:hint="eastAsia" w:ascii="仿宋" w:hAnsi="仿宋" w:eastAsia="仿宋" w:cs="仿宋"/>
          <w:color w:val="auto"/>
          <w:kern w:val="0"/>
          <w:sz w:val="32"/>
          <w:szCs w:val="32"/>
          <w:lang w:eastAsia="zh-CN"/>
        </w:rPr>
        <w:t>附</w:t>
      </w:r>
      <w:r>
        <w:rPr>
          <w:rFonts w:hint="eastAsia" w:ascii="仿宋" w:hAnsi="仿宋" w:eastAsia="仿宋" w:cs="仿宋"/>
          <w:color w:val="auto"/>
          <w:kern w:val="0"/>
          <w:sz w:val="32"/>
          <w:szCs w:val="32"/>
          <w:lang w:val="en-US" w:eastAsia="zh-CN"/>
        </w:rPr>
        <w:t>2</w:t>
      </w:r>
      <w:r>
        <w:rPr>
          <w:rFonts w:hint="eastAsia" w:ascii="仿宋" w:hAnsi="仿宋" w:eastAsia="仿宋" w:cs="仿宋"/>
          <w:color w:val="000000"/>
          <w:kern w:val="0"/>
          <w:sz w:val="32"/>
          <w:szCs w:val="32"/>
        </w:rPr>
        <w:t>）。</w:t>
      </w:r>
    </w:p>
    <w:p>
      <w:pPr>
        <w:spacing w:beforeLines="0" w:afterLines="0"/>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auto"/>
          <w:kern w:val="0"/>
          <w:sz w:val="32"/>
          <w:szCs w:val="32"/>
        </w:rPr>
        <w:t>第</w:t>
      </w:r>
      <w:r>
        <w:rPr>
          <w:rFonts w:hint="eastAsia" w:ascii="仿宋" w:hAnsi="仿宋" w:eastAsia="仿宋" w:cs="仿宋"/>
          <w:b/>
          <w:bCs/>
          <w:color w:val="auto"/>
          <w:kern w:val="0"/>
          <w:sz w:val="32"/>
          <w:szCs w:val="32"/>
          <w:lang w:eastAsia="zh-CN"/>
        </w:rPr>
        <w:t>八</w:t>
      </w:r>
      <w:r>
        <w:rPr>
          <w:rFonts w:hint="eastAsia" w:ascii="仿宋" w:hAnsi="仿宋" w:eastAsia="仿宋" w:cs="仿宋"/>
          <w:b/>
          <w:bCs/>
          <w:color w:val="auto"/>
          <w:kern w:val="0"/>
          <w:sz w:val="32"/>
          <w:szCs w:val="32"/>
        </w:rPr>
        <w:t>条</w:t>
      </w:r>
      <w:r>
        <w:rPr>
          <w:rFonts w:hint="eastAsia"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b w:val="0"/>
          <w:bCs w:val="0"/>
          <w:color w:val="000000"/>
          <w:kern w:val="0"/>
          <w:sz w:val="32"/>
          <w:szCs w:val="32"/>
          <w:lang w:eastAsia="zh-CN"/>
        </w:rPr>
        <w:t>在试点区域内</w:t>
      </w:r>
      <w:r>
        <w:rPr>
          <w:rFonts w:hint="eastAsia" w:ascii="仿宋" w:hAnsi="仿宋" w:eastAsia="仿宋" w:cs="仿宋"/>
          <w:color w:val="000000"/>
          <w:kern w:val="0"/>
          <w:sz w:val="32"/>
          <w:szCs w:val="32"/>
        </w:rPr>
        <w:t>开展非金融企业外债便利化额度试点</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放宽非金融企业借用外债的额度限制，允许试点区域</w:t>
      </w:r>
      <w:r>
        <w:rPr>
          <w:rFonts w:hint="eastAsia" w:ascii="仿宋" w:hAnsi="仿宋" w:eastAsia="仿宋" w:cs="仿宋"/>
          <w:color w:val="000000"/>
          <w:kern w:val="0"/>
          <w:sz w:val="32"/>
          <w:szCs w:val="32"/>
          <w:lang w:eastAsia="zh-CN"/>
        </w:rPr>
        <w:t>内</w:t>
      </w:r>
      <w:r>
        <w:rPr>
          <w:rFonts w:hint="eastAsia" w:ascii="仿宋" w:hAnsi="仿宋" w:eastAsia="仿宋" w:cs="仿宋"/>
          <w:color w:val="000000"/>
          <w:kern w:val="0"/>
          <w:sz w:val="32"/>
          <w:szCs w:val="32"/>
        </w:rPr>
        <w:t>符合条件的非金融企业，在一定额度内自主借用外债（详细操作指引见</w:t>
      </w:r>
      <w:r>
        <w:rPr>
          <w:rFonts w:hint="eastAsia" w:ascii="仿宋" w:hAnsi="仿宋" w:eastAsia="仿宋" w:cs="仿宋"/>
          <w:color w:val="000000"/>
          <w:kern w:val="0"/>
          <w:sz w:val="32"/>
          <w:szCs w:val="32"/>
          <w:lang w:eastAsia="zh-CN"/>
        </w:rPr>
        <w:t>附</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w:t>
      </w:r>
    </w:p>
    <w:p>
      <w:pPr>
        <w:spacing w:beforeLines="0" w:afterLines="0"/>
        <w:ind w:firstLine="640" w:firstLineChars="200"/>
        <w:jc w:val="both"/>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九</w:t>
      </w:r>
      <w:r>
        <w:rPr>
          <w:rFonts w:hint="eastAsia" w:ascii="仿宋" w:hAnsi="仿宋" w:eastAsia="仿宋" w:cs="仿宋"/>
          <w:b/>
          <w:bCs/>
          <w:color w:val="000000"/>
          <w:kern w:val="0"/>
          <w:sz w:val="32"/>
          <w:szCs w:val="32"/>
        </w:rPr>
        <w:t>条</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sz w:val="32"/>
          <w:szCs w:val="32"/>
          <w:lang w:val="en-US" w:eastAsia="zh-CN"/>
        </w:rPr>
        <w:t>在试点区域内开展非金融企业外债登记管理改革试点，允许符合条件的非金融企业按净资产2倍到试点区域外汇局办理一次性外债登记，在登记金额内自行借入外债资金</w:t>
      </w:r>
      <w:r>
        <w:rPr>
          <w:rFonts w:hint="eastAsia" w:ascii="仿宋" w:hAnsi="仿宋" w:eastAsia="仿宋" w:cs="仿宋"/>
          <w:color w:val="000000"/>
          <w:kern w:val="0"/>
          <w:sz w:val="32"/>
          <w:szCs w:val="32"/>
        </w:rPr>
        <w:t>（详细操作指引见</w:t>
      </w:r>
      <w:r>
        <w:rPr>
          <w:rFonts w:hint="eastAsia" w:ascii="仿宋" w:hAnsi="仿宋" w:eastAsia="仿宋" w:cs="仿宋"/>
          <w:color w:val="000000"/>
          <w:kern w:val="0"/>
          <w:sz w:val="32"/>
          <w:szCs w:val="32"/>
          <w:lang w:eastAsia="zh-CN"/>
        </w:rPr>
        <w:t>附</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w:t>
      </w:r>
    </w:p>
    <w:p>
      <w:pPr>
        <w:widowControl w:val="0"/>
        <w:spacing w:beforeLines="0" w:afterLines="0"/>
        <w:ind w:firstLine="640"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十</w:t>
      </w:r>
      <w:r>
        <w:rPr>
          <w:rFonts w:hint="eastAsia" w:ascii="仿宋" w:hAnsi="仿宋" w:eastAsia="仿宋" w:cs="仿宋"/>
          <w:b/>
          <w:bCs/>
          <w:color w:val="000000"/>
          <w:kern w:val="0"/>
          <w:sz w:val="32"/>
          <w:szCs w:val="32"/>
        </w:rPr>
        <w:t xml:space="preserve">条 </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sz w:val="32"/>
          <w:szCs w:val="32"/>
          <w:lang w:val="en-US" w:eastAsia="zh-CN"/>
        </w:rPr>
        <w:t>在试点区域内</w:t>
      </w:r>
      <w:r>
        <w:rPr>
          <w:rFonts w:hint="eastAsia" w:ascii="仿宋" w:hAnsi="仿宋" w:eastAsia="仿宋" w:cs="仿宋"/>
          <w:sz w:val="32"/>
          <w:szCs w:val="32"/>
        </w:rPr>
        <w:t>开展合格境外有限合伙人（QFLP）</w:t>
      </w:r>
      <w:r>
        <w:rPr>
          <w:rFonts w:hint="eastAsia" w:ascii="仿宋" w:hAnsi="仿宋" w:eastAsia="仿宋" w:cs="仿宋"/>
          <w:sz w:val="32"/>
          <w:szCs w:val="32"/>
          <w:lang w:eastAsia="zh-CN"/>
        </w:rPr>
        <w:t>外汇管理</w:t>
      </w:r>
      <w:r>
        <w:rPr>
          <w:rFonts w:hint="eastAsia" w:ascii="仿宋" w:hAnsi="仿宋" w:eastAsia="仿宋" w:cs="仿宋"/>
          <w:sz w:val="32"/>
          <w:szCs w:val="32"/>
        </w:rPr>
        <w:t>试点。简化外汇登记，允许其通过股权、债权等形式，在境内开展外商投资准入特别管理措施（负面清单）以外的各类投资活动（房地产企业和地方政府融资平台除外）</w:t>
      </w:r>
      <w:r>
        <w:rPr>
          <w:rFonts w:hint="eastAsia" w:ascii="仿宋" w:hAnsi="仿宋" w:eastAsia="仿宋" w:cs="仿宋"/>
          <w:color w:val="000000"/>
          <w:kern w:val="0"/>
          <w:sz w:val="32"/>
          <w:szCs w:val="32"/>
        </w:rPr>
        <w:t>（详细操作指引见</w:t>
      </w:r>
      <w:r>
        <w:rPr>
          <w:rFonts w:hint="eastAsia" w:ascii="仿宋" w:hAnsi="仿宋" w:eastAsia="仿宋" w:cs="仿宋"/>
          <w:color w:val="000000"/>
          <w:kern w:val="0"/>
          <w:sz w:val="32"/>
          <w:szCs w:val="32"/>
          <w:lang w:eastAsia="zh-CN"/>
        </w:rPr>
        <w:t>附</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w:t>
      </w:r>
      <w:r>
        <w:rPr>
          <w:rFonts w:hint="eastAsia" w:ascii="仿宋" w:hAnsi="仿宋" w:eastAsia="仿宋" w:cs="仿宋"/>
          <w:sz w:val="32"/>
          <w:szCs w:val="32"/>
        </w:rPr>
        <w:t>。</w:t>
      </w:r>
    </w:p>
    <w:p>
      <w:pPr>
        <w:autoSpaceDN w:val="0"/>
        <w:snapToGrid w:val="0"/>
        <w:spacing w:beforeLines="0" w:afterLines="0" w:line="360" w:lineRule="auto"/>
        <w:jc w:val="center"/>
        <w:rPr>
          <w:rFonts w:hint="eastAsia" w:ascii="黑体" w:hAnsi="黑体" w:eastAsia="黑体"/>
          <w:color w:val="000000"/>
          <w:kern w:val="0"/>
          <w:sz w:val="32"/>
          <w:szCs w:val="32"/>
        </w:rPr>
      </w:pPr>
    </w:p>
    <w:p>
      <w:pPr>
        <w:autoSpaceDN w:val="0"/>
        <w:snapToGrid w:val="0"/>
        <w:spacing w:beforeLines="0" w:afterLines="0" w:line="360" w:lineRule="auto"/>
        <w:ind w:firstLine="0" w:firstLineChars="0"/>
        <w:jc w:val="center"/>
        <w:rPr>
          <w:rFonts w:hint="eastAsia" w:ascii="仿宋_GB2312" w:hAnsi="仿宋_GB2312" w:eastAsia="仿宋_GB2312" w:cs="仿宋_GB2312"/>
          <w:b/>
          <w:bCs/>
          <w:color w:val="000000"/>
          <w:kern w:val="0"/>
          <w:sz w:val="32"/>
          <w:szCs w:val="32"/>
        </w:rPr>
      </w:pPr>
      <w:r>
        <w:rPr>
          <w:rFonts w:hint="eastAsia" w:ascii="黑体" w:hAnsi="黑体" w:eastAsia="黑体"/>
          <w:color w:val="000000"/>
          <w:kern w:val="0"/>
          <w:sz w:val="32"/>
          <w:szCs w:val="32"/>
        </w:rPr>
        <w:t>第</w:t>
      </w:r>
      <w:r>
        <w:rPr>
          <w:rFonts w:hint="eastAsia" w:ascii="黑体" w:hAnsi="黑体" w:eastAsia="黑体"/>
          <w:color w:val="000000"/>
          <w:kern w:val="0"/>
          <w:sz w:val="32"/>
          <w:szCs w:val="32"/>
          <w:lang w:val="en-US" w:eastAsia="zh-CN"/>
        </w:rPr>
        <w:t>三</w:t>
      </w:r>
      <w:r>
        <w:rPr>
          <w:rFonts w:hint="eastAsia" w:ascii="黑体" w:hAnsi="黑体" w:eastAsia="黑体"/>
          <w:color w:val="000000"/>
          <w:kern w:val="0"/>
          <w:sz w:val="32"/>
          <w:szCs w:val="32"/>
        </w:rPr>
        <w:t xml:space="preserve">章 </w:t>
      </w:r>
      <w:r>
        <w:rPr>
          <w:rFonts w:hint="eastAsia" w:ascii="黑体" w:hAnsi="黑体" w:eastAsia="黑体"/>
          <w:color w:val="000000"/>
          <w:kern w:val="0"/>
          <w:sz w:val="32"/>
          <w:szCs w:val="32"/>
          <w:lang w:val="en-US" w:eastAsia="zh-CN"/>
        </w:rPr>
        <w:t xml:space="preserve"> </w:t>
      </w:r>
      <w:r>
        <w:rPr>
          <w:rFonts w:hint="eastAsia" w:ascii="黑体" w:hAnsi="黑体" w:eastAsia="黑体"/>
          <w:color w:val="000000"/>
          <w:kern w:val="0"/>
          <w:sz w:val="32"/>
          <w:szCs w:val="32"/>
        </w:rPr>
        <w:t>事中事后监管与风险防控</w:t>
      </w:r>
    </w:p>
    <w:p>
      <w:pPr>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一</w:t>
      </w:r>
      <w:r>
        <w:rPr>
          <w:rFonts w:hint="eastAsia" w:ascii="仿宋_GB2312" w:hAnsi="仿宋_GB2312" w:eastAsia="仿宋_GB2312" w:cs="仿宋_GB2312"/>
          <w:b/>
          <w:bCs/>
          <w:color w:val="000000"/>
          <w:kern w:val="0"/>
          <w:sz w:val="32"/>
          <w:szCs w:val="32"/>
        </w:rPr>
        <w:t xml:space="preserve">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lang w:val="en-US" w:eastAsia="zh-CN"/>
        </w:rPr>
        <w:t>试点区域</w:t>
      </w:r>
      <w:r>
        <w:rPr>
          <w:rFonts w:hint="eastAsia" w:ascii="仿宋_GB2312" w:hAnsi="仿宋_GB2312" w:eastAsia="仿宋_GB2312" w:cs="仿宋_GB2312"/>
          <w:color w:val="000000"/>
          <w:kern w:val="0"/>
          <w:sz w:val="32"/>
          <w:szCs w:val="32"/>
        </w:rPr>
        <w:t>外汇局依法对试点企业和金融机构进行监管，</w:t>
      </w:r>
      <w:r>
        <w:rPr>
          <w:rFonts w:hint="eastAsia" w:ascii="仿宋_GB2312" w:hAnsi="仿宋_GB2312" w:eastAsia="仿宋_GB2312" w:cs="仿宋_GB2312"/>
          <w:sz w:val="32"/>
          <w:szCs w:val="32"/>
        </w:rPr>
        <w:t>依托资本项目信息系统、跨境资金流动监测与分析系统等，综合运用统计监测分析、非现</w:t>
      </w:r>
      <w:r>
        <w:rPr>
          <w:rFonts w:hint="eastAsia" w:ascii="仿宋_GB2312" w:hAnsi="仿宋_GB2312" w:eastAsia="仿宋_GB2312" w:cs="仿宋_GB2312"/>
          <w:color w:val="000000"/>
          <w:kern w:val="0"/>
          <w:sz w:val="32"/>
          <w:szCs w:val="32"/>
        </w:rPr>
        <w:t>场核查、现场核查等方式，加强事中事后监管，防范跨境资金流动风险。</w:t>
      </w:r>
    </w:p>
    <w:p>
      <w:pPr>
        <w:spacing w:beforeLines="0" w:afterLines="0" w:line="240" w:lineRule="auto"/>
        <w:ind w:firstLine="0" w:firstLineChars="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二</w:t>
      </w:r>
      <w:r>
        <w:rPr>
          <w:rFonts w:hint="eastAsia" w:ascii="仿宋_GB2312" w:hAnsi="仿宋_GB2312" w:eastAsia="仿宋_GB2312" w:cs="仿宋_GB2312"/>
          <w:b/>
          <w:bCs/>
          <w:color w:val="000000"/>
          <w:kern w:val="0"/>
          <w:sz w:val="32"/>
          <w:szCs w:val="32"/>
        </w:rPr>
        <w:t xml:space="preserve">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val="0"/>
          <w:bCs w:val="0"/>
          <w:color w:val="auto"/>
          <w:kern w:val="2"/>
          <w:sz w:val="32"/>
          <w:szCs w:val="32"/>
          <w:lang w:val="en-US" w:eastAsia="zh-CN"/>
        </w:rPr>
        <w:t>试点区域</w:t>
      </w:r>
      <w:r>
        <w:rPr>
          <w:rFonts w:hint="eastAsia" w:ascii="仿宋_GB2312" w:hAnsi="仿宋_GB2312" w:eastAsia="仿宋_GB2312" w:cs="仿宋_GB2312"/>
          <w:sz w:val="32"/>
          <w:szCs w:val="32"/>
        </w:rPr>
        <w:t>外汇局应密切跟踪辖区试点业务开展情况，积极加强与地方政府及相关管理部门的沟通与协作，共同负责辖区试点业务风险识别、评估、报告、</w:t>
      </w:r>
      <w:r>
        <w:rPr>
          <w:rFonts w:hint="eastAsia" w:ascii="仿宋_GB2312" w:hAnsi="仿宋_GB2312" w:eastAsia="仿宋_GB2312" w:cs="仿宋_GB2312"/>
          <w:color w:val="000000"/>
          <w:kern w:val="0"/>
          <w:sz w:val="32"/>
          <w:szCs w:val="32"/>
        </w:rPr>
        <w:t>应对处置等工作。</w:t>
      </w:r>
    </w:p>
    <w:p>
      <w:pPr>
        <w:spacing w:beforeLines="0" w:afterLines="0" w:line="24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三</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试点区域</w:t>
      </w:r>
      <w:r>
        <w:rPr>
          <w:rFonts w:hint="eastAsia" w:ascii="仿宋_GB2312" w:hAnsi="仿宋_GB2312" w:eastAsia="仿宋_GB2312" w:cs="仿宋_GB2312"/>
          <w:color w:val="000000"/>
          <w:kern w:val="0"/>
          <w:sz w:val="32"/>
          <w:szCs w:val="32"/>
        </w:rPr>
        <w:t>外汇局应会同相关部门建立健全风险防控工作机制，不断完善风险应对，及时进行风险处置，加强舆情监测与市场预期引导，有效防范跨境资本流动冲击，牢牢守住不发生系统性金融风险的底线。</w:t>
      </w:r>
    </w:p>
    <w:p>
      <w:pPr>
        <w:spacing w:beforeLines="0" w:afterLines="0" w:line="24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四</w:t>
      </w:r>
      <w:r>
        <w:rPr>
          <w:rFonts w:hint="eastAsia" w:ascii="仿宋_GB2312" w:hAnsi="仿宋_GB2312" w:eastAsia="仿宋_GB2312" w:cs="仿宋_GB2312"/>
          <w:b/>
          <w:bCs/>
          <w:color w:val="000000"/>
          <w:kern w:val="0"/>
          <w:sz w:val="32"/>
          <w:szCs w:val="32"/>
        </w:rPr>
        <w:t xml:space="preserve">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lang w:val="en-US" w:eastAsia="zh-CN"/>
        </w:rPr>
        <w:t>江苏省分局</w:t>
      </w:r>
      <w:r>
        <w:rPr>
          <w:rFonts w:hint="eastAsia" w:ascii="仿宋_GB2312" w:hAnsi="仿宋_GB2312" w:eastAsia="仿宋_GB2312" w:cs="仿宋_GB2312"/>
          <w:color w:val="000000"/>
          <w:kern w:val="0"/>
          <w:sz w:val="32"/>
          <w:szCs w:val="32"/>
        </w:rPr>
        <w:t>可根据国家宏观调控政策、外汇收支形势及试点业务开展情况，逐步完善和改进试点业务内容，</w:t>
      </w:r>
      <w:r>
        <w:rPr>
          <w:rFonts w:hint="eastAsia" w:ascii="仿宋_GB2312" w:hAnsi="仿宋_GB2312" w:eastAsia="仿宋_GB2312" w:cs="仿宋_GB2312"/>
          <w:sz w:val="32"/>
          <w:szCs w:val="32"/>
        </w:rPr>
        <w:t>平稳有序推进</w:t>
      </w:r>
      <w:r>
        <w:rPr>
          <w:rFonts w:hint="eastAsia" w:ascii="仿宋_GB2312" w:hAnsi="仿宋_GB2312" w:eastAsia="仿宋_GB2312" w:cs="仿宋_GB2312"/>
          <w:sz w:val="32"/>
          <w:szCs w:val="32"/>
          <w:lang w:eastAsia="zh-CN"/>
        </w:rPr>
        <w:t>各项试点业务</w:t>
      </w:r>
      <w:r>
        <w:rPr>
          <w:rFonts w:hint="eastAsia" w:ascii="仿宋_GB2312" w:hAnsi="仿宋_GB2312" w:eastAsia="仿宋_GB2312" w:cs="仿宋_GB2312"/>
          <w:color w:val="000000"/>
          <w:kern w:val="0"/>
          <w:sz w:val="32"/>
          <w:szCs w:val="32"/>
        </w:rPr>
        <w:t>。</w:t>
      </w:r>
    </w:p>
    <w:p>
      <w:pPr>
        <w:autoSpaceDN w:val="0"/>
        <w:spacing w:beforeLines="0" w:afterLines="0"/>
        <w:ind w:firstLine="641"/>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五</w:t>
      </w:r>
      <w:r>
        <w:rPr>
          <w:rFonts w:hint="eastAsia" w:ascii="仿宋_GB2312" w:hAnsi="仿宋_GB2312" w:eastAsia="仿宋_GB2312" w:cs="仿宋_GB2312"/>
          <w:b/>
          <w:bCs/>
          <w:color w:val="000000"/>
          <w:kern w:val="0"/>
          <w:sz w:val="32"/>
          <w:szCs w:val="32"/>
        </w:rPr>
        <w:t xml:space="preserve">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试点企业和金融机构应按规定留存充分证明所涉业务真实、合规的相关文件和单证（含电子单证）等备查（另有规定除外）。</w:t>
      </w:r>
    </w:p>
    <w:p>
      <w:pPr>
        <w:autoSpaceDN w:val="0"/>
        <w:snapToGrid w:val="0"/>
        <w:spacing w:beforeLines="0" w:afterLines="0" w:line="360" w:lineRule="auto"/>
        <w:jc w:val="both"/>
        <w:rPr>
          <w:rFonts w:hint="eastAsia" w:ascii="黑体" w:hAnsi="黑体" w:eastAsia="黑体"/>
          <w:color w:val="000000"/>
          <w:kern w:val="0"/>
          <w:sz w:val="32"/>
          <w:szCs w:val="32"/>
        </w:rPr>
      </w:pP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六</w:t>
      </w:r>
      <w:r>
        <w:rPr>
          <w:rFonts w:hint="eastAsia" w:ascii="仿宋_GB2312" w:hAnsi="仿宋_GB2312" w:eastAsia="仿宋_GB2312" w:cs="仿宋_GB2312"/>
          <w:b/>
          <w:bCs/>
          <w:color w:val="000000"/>
          <w:kern w:val="0"/>
          <w:sz w:val="32"/>
          <w:szCs w:val="32"/>
        </w:rPr>
        <w:t xml:space="preserve">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试点企业和金融机构发生外汇违法违规行为的，</w:t>
      </w:r>
      <w:r>
        <w:rPr>
          <w:rFonts w:hint="eastAsia" w:ascii="仿宋_GB2312" w:hAnsi="仿宋_GB2312" w:eastAsia="仿宋_GB2312" w:cs="仿宋_GB2312"/>
          <w:color w:val="000000"/>
          <w:kern w:val="0"/>
          <w:sz w:val="32"/>
          <w:szCs w:val="32"/>
          <w:lang w:eastAsia="zh-CN"/>
        </w:rPr>
        <w:t>试点区域</w:t>
      </w:r>
      <w:r>
        <w:rPr>
          <w:rFonts w:hint="eastAsia" w:ascii="仿宋_GB2312" w:hAnsi="仿宋_GB2312" w:eastAsia="仿宋_GB2312" w:cs="仿宋_GB2312"/>
          <w:color w:val="000000"/>
          <w:kern w:val="0"/>
          <w:sz w:val="32"/>
          <w:szCs w:val="32"/>
        </w:rPr>
        <w:t>外汇局依法</w:t>
      </w:r>
      <w:r>
        <w:rPr>
          <w:rFonts w:hint="eastAsia" w:ascii="仿宋_GB2312" w:hAnsi="仿宋_GB2312" w:eastAsia="仿宋_GB2312" w:cs="仿宋_GB2312"/>
          <w:color w:val="000000"/>
          <w:kern w:val="0"/>
          <w:sz w:val="32"/>
          <w:szCs w:val="32"/>
          <w:lang w:eastAsia="zh-CN"/>
        </w:rPr>
        <w:t>采取约谈、下发风险提示函、</w:t>
      </w:r>
      <w:r>
        <w:rPr>
          <w:rFonts w:hint="eastAsia" w:ascii="仿宋_GB2312" w:hAnsi="仿宋_GB2312" w:eastAsia="仿宋_GB2312" w:cs="仿宋_GB2312"/>
          <w:color w:val="000000"/>
          <w:kern w:val="0"/>
          <w:sz w:val="32"/>
          <w:szCs w:val="32"/>
        </w:rPr>
        <w:t>处罚</w:t>
      </w:r>
      <w:r>
        <w:rPr>
          <w:rFonts w:hint="eastAsia" w:ascii="仿宋_GB2312" w:hAnsi="仿宋_GB2312" w:eastAsia="仿宋_GB2312" w:cs="仿宋_GB2312"/>
          <w:color w:val="000000"/>
          <w:kern w:val="0"/>
          <w:sz w:val="32"/>
          <w:szCs w:val="32"/>
          <w:lang w:eastAsia="zh-CN"/>
        </w:rPr>
        <w:t>等措施</w:t>
      </w:r>
      <w:r>
        <w:rPr>
          <w:rFonts w:hint="eastAsia" w:ascii="仿宋_GB2312" w:hAnsi="仿宋_GB2312" w:eastAsia="仿宋_GB2312" w:cs="仿宋_GB2312"/>
          <w:color w:val="000000"/>
          <w:kern w:val="0"/>
          <w:sz w:val="32"/>
          <w:szCs w:val="32"/>
        </w:rPr>
        <w:t>，并视情节暂停或取消</w:t>
      </w:r>
      <w:r>
        <w:rPr>
          <w:rFonts w:hint="eastAsia" w:ascii="仿宋_GB2312" w:hAnsi="仿宋_GB2312" w:eastAsia="仿宋_GB2312" w:cs="仿宋_GB2312"/>
          <w:color w:val="000000"/>
          <w:kern w:val="0"/>
          <w:sz w:val="32"/>
          <w:szCs w:val="32"/>
          <w:lang w:eastAsia="zh-CN"/>
        </w:rPr>
        <w:t>有关</w:t>
      </w:r>
      <w:r>
        <w:rPr>
          <w:rFonts w:hint="eastAsia" w:ascii="仿宋_GB2312" w:hAnsi="仿宋_GB2312" w:eastAsia="仿宋_GB2312" w:cs="仿宋_GB2312"/>
          <w:color w:val="000000"/>
          <w:kern w:val="0"/>
          <w:sz w:val="32"/>
          <w:szCs w:val="32"/>
        </w:rPr>
        <w:t>主体办理本</w:t>
      </w:r>
      <w:r>
        <w:rPr>
          <w:rFonts w:hint="eastAsia" w:ascii="仿宋_GB2312" w:hAnsi="仿宋_GB2312" w:eastAsia="仿宋_GB2312" w:cs="仿宋_GB2312"/>
          <w:color w:val="000000"/>
          <w:kern w:val="0"/>
          <w:sz w:val="32"/>
          <w:szCs w:val="32"/>
          <w:lang w:eastAsia="zh-CN"/>
        </w:rPr>
        <w:t>实施</w:t>
      </w:r>
      <w:r>
        <w:rPr>
          <w:rFonts w:hint="eastAsia" w:ascii="仿宋_GB2312" w:hAnsi="仿宋_GB2312" w:eastAsia="仿宋_GB2312" w:cs="仿宋_GB2312"/>
          <w:color w:val="000000"/>
          <w:kern w:val="0"/>
          <w:sz w:val="32"/>
          <w:szCs w:val="32"/>
        </w:rPr>
        <w:t>细则规定的</w:t>
      </w:r>
      <w:r>
        <w:rPr>
          <w:rFonts w:hint="eastAsia" w:ascii="仿宋_GB2312" w:hAnsi="仿宋_GB2312" w:eastAsia="仿宋_GB2312" w:cs="仿宋_GB2312"/>
          <w:color w:val="000000"/>
          <w:kern w:val="0"/>
          <w:sz w:val="32"/>
          <w:szCs w:val="32"/>
          <w:lang w:eastAsia="zh-CN"/>
        </w:rPr>
        <w:t>相关</w:t>
      </w:r>
      <w:r>
        <w:rPr>
          <w:rFonts w:hint="eastAsia" w:ascii="仿宋_GB2312" w:hAnsi="仿宋_GB2312" w:eastAsia="仿宋_GB2312" w:cs="仿宋_GB2312"/>
          <w:color w:val="000000"/>
          <w:kern w:val="0"/>
          <w:sz w:val="32"/>
          <w:szCs w:val="32"/>
        </w:rPr>
        <w:t>业务。</w:t>
      </w:r>
    </w:p>
    <w:p>
      <w:pPr>
        <w:autoSpaceDN w:val="0"/>
        <w:snapToGrid w:val="0"/>
        <w:spacing w:beforeLines="0" w:afterLines="0" w:line="360" w:lineRule="auto"/>
        <w:jc w:val="center"/>
        <w:rPr>
          <w:rFonts w:hint="eastAsia" w:ascii="黑体" w:hAnsi="黑体" w:eastAsia="黑体"/>
          <w:color w:val="000000"/>
          <w:kern w:val="0"/>
          <w:sz w:val="32"/>
          <w:szCs w:val="32"/>
        </w:rPr>
      </w:pPr>
    </w:p>
    <w:p>
      <w:pPr>
        <w:autoSpaceDN w:val="0"/>
        <w:snapToGrid w:val="0"/>
        <w:spacing w:beforeLines="0" w:afterLines="0" w:line="360" w:lineRule="auto"/>
        <w:ind w:firstLine="0"/>
        <w:jc w:val="center"/>
        <w:rPr>
          <w:rFonts w:ascii="仿宋_GB2312" w:hAnsi="仿宋_GB2312" w:eastAsia="仿宋_GB2312" w:cs="仿宋_GB2312"/>
          <w:color w:val="000000"/>
          <w:kern w:val="0"/>
          <w:sz w:val="32"/>
          <w:szCs w:val="32"/>
        </w:rPr>
      </w:pPr>
      <w:r>
        <w:rPr>
          <w:rFonts w:hint="eastAsia" w:ascii="黑体" w:hAnsi="黑体" w:eastAsia="黑体"/>
          <w:color w:val="000000"/>
          <w:kern w:val="0"/>
          <w:sz w:val="32"/>
          <w:szCs w:val="32"/>
        </w:rPr>
        <w:t>第</w:t>
      </w:r>
      <w:r>
        <w:rPr>
          <w:rFonts w:hint="eastAsia" w:ascii="黑体" w:hAnsi="黑体" w:eastAsia="黑体"/>
          <w:color w:val="000000"/>
          <w:kern w:val="0"/>
          <w:sz w:val="32"/>
          <w:szCs w:val="32"/>
          <w:lang w:eastAsia="zh-CN"/>
        </w:rPr>
        <w:t>四</w:t>
      </w:r>
      <w:r>
        <w:rPr>
          <w:rFonts w:hint="eastAsia" w:ascii="黑体" w:hAnsi="黑体" w:eastAsia="黑体"/>
          <w:color w:val="000000"/>
          <w:kern w:val="0"/>
          <w:sz w:val="32"/>
          <w:szCs w:val="32"/>
        </w:rPr>
        <w:t>章  附  则</w:t>
      </w:r>
    </w:p>
    <w:p>
      <w:pPr>
        <w:autoSpaceDN w:val="0"/>
        <w:ind w:firstLine="641"/>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七</w:t>
      </w:r>
      <w:r>
        <w:rPr>
          <w:rFonts w:hint="eastAsia" w:ascii="仿宋_GB2312" w:hAnsi="仿宋_GB2312" w:eastAsia="仿宋_GB2312" w:cs="仿宋_GB2312"/>
          <w:b/>
          <w:bCs/>
          <w:color w:val="000000"/>
          <w:kern w:val="0"/>
          <w:sz w:val="32"/>
          <w:szCs w:val="32"/>
        </w:rPr>
        <w:t xml:space="preserve">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实施</w:t>
      </w:r>
      <w:r>
        <w:rPr>
          <w:rFonts w:hint="eastAsia" w:ascii="仿宋_GB2312" w:hAnsi="仿宋_GB2312" w:eastAsia="仿宋_GB2312" w:cs="仿宋_GB2312"/>
          <w:kern w:val="0"/>
          <w:sz w:val="32"/>
          <w:szCs w:val="32"/>
        </w:rPr>
        <w:t>细则自发布之日起</w:t>
      </w:r>
      <w:r>
        <w:rPr>
          <w:rFonts w:hint="eastAsia" w:ascii="仿宋_GB2312" w:hAnsi="仿宋_GB2312" w:eastAsia="仿宋_GB2312" w:cs="仿宋_GB2312"/>
          <w:kern w:val="0"/>
          <w:sz w:val="32"/>
          <w:szCs w:val="32"/>
          <w:lang w:eastAsia="zh-CN"/>
        </w:rPr>
        <w:t>实施</w:t>
      </w:r>
      <w:r>
        <w:rPr>
          <w:rFonts w:hint="eastAsia" w:ascii="仿宋_GB2312" w:hAnsi="仿宋_GB2312" w:eastAsia="仿宋_GB2312" w:cs="仿宋_GB2312"/>
          <w:kern w:val="0"/>
          <w:sz w:val="32"/>
          <w:szCs w:val="32"/>
        </w:rPr>
        <w:t>，未尽事宜按照现行外汇管理规定办理。</w:t>
      </w:r>
    </w:p>
    <w:p>
      <w:pPr>
        <w:widowControl/>
        <w:autoSpaceDN w:val="0"/>
        <w:snapToGrid w:val="0"/>
        <w:spacing w:line="360" w:lineRule="auto"/>
        <w:ind w:firstLine="640"/>
        <w:rPr>
          <w:rFonts w:ascii="Times New Roman" w:hAnsi="Times New Roman" w:eastAsia="仿宋_GB2312" w:cs="Times New Roman"/>
          <w:kern w:val="0"/>
          <w:sz w:val="30"/>
          <w:szCs w:val="30"/>
        </w:rPr>
      </w:pPr>
    </w:p>
    <w:p>
      <w:pPr>
        <w:widowControl w:val="0"/>
        <w:snapToGrid/>
        <w:spacing w:beforeLines="0" w:afterLines="0" w:line="300" w:lineRule="exact"/>
        <w:ind w:left="0" w:leftChars="0" w:firstLine="0" w:firstLineChars="0"/>
        <w:rPr>
          <w:rFonts w:hint="eastAsia" w:ascii="仿宋" w:hAnsi="仿宋" w:eastAsia="仿宋" w:cs="仿宋"/>
          <w:b/>
          <w:bCs/>
          <w:sz w:val="30"/>
          <w:szCs w:val="30"/>
        </w:rPr>
      </w:pPr>
      <w:bookmarkStart w:id="0" w:name="_GoBack"/>
      <w:bookmarkEnd w:id="0"/>
    </w:p>
    <w:sectPr>
      <w:footerReference r:id="rId4" w:type="default"/>
      <w:pgSz w:w="11906" w:h="16838"/>
      <w:pgMar w:top="1440" w:right="1803" w:bottom="1440" w:left="1803" w:header="851" w:footer="992" w:gutter="0"/>
      <w:paperSrc w:first="0" w:oth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fldChar w:fldCharType="begin"/>
    </w:r>
    <w:r>
      <w:instrText xml:space="preserve"> PAGE   \* MERGEFORMAT </w:instrText>
    </w:r>
    <w:r>
      <w:fldChar w:fldCharType="separate"/>
    </w:r>
    <w:r>
      <w:t>1</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6704A"/>
    <w:rsid w:val="00000C90"/>
    <w:rsid w:val="0001526C"/>
    <w:rsid w:val="00023ADA"/>
    <w:rsid w:val="000241C0"/>
    <w:rsid w:val="000466EA"/>
    <w:rsid w:val="00066C1F"/>
    <w:rsid w:val="00083C90"/>
    <w:rsid w:val="00087BCD"/>
    <w:rsid w:val="00095F0E"/>
    <w:rsid w:val="000A7A19"/>
    <w:rsid w:val="000B0BF9"/>
    <w:rsid w:val="000C11ED"/>
    <w:rsid w:val="000E6DA5"/>
    <w:rsid w:val="001079AA"/>
    <w:rsid w:val="0011219B"/>
    <w:rsid w:val="001235F9"/>
    <w:rsid w:val="0013465E"/>
    <w:rsid w:val="0017106C"/>
    <w:rsid w:val="00175E60"/>
    <w:rsid w:val="001B1E4F"/>
    <w:rsid w:val="001B3380"/>
    <w:rsid w:val="001B4ACC"/>
    <w:rsid w:val="001B6509"/>
    <w:rsid w:val="001C23AC"/>
    <w:rsid w:val="001F004A"/>
    <w:rsid w:val="001F25F7"/>
    <w:rsid w:val="002120AC"/>
    <w:rsid w:val="00216563"/>
    <w:rsid w:val="00270411"/>
    <w:rsid w:val="00271287"/>
    <w:rsid w:val="0027567B"/>
    <w:rsid w:val="002A65C7"/>
    <w:rsid w:val="002C34D8"/>
    <w:rsid w:val="002D2619"/>
    <w:rsid w:val="002E07AF"/>
    <w:rsid w:val="002E0F11"/>
    <w:rsid w:val="00313DB0"/>
    <w:rsid w:val="00315A0D"/>
    <w:rsid w:val="00317621"/>
    <w:rsid w:val="00324BA4"/>
    <w:rsid w:val="003267D5"/>
    <w:rsid w:val="00333BD5"/>
    <w:rsid w:val="003411B2"/>
    <w:rsid w:val="00347673"/>
    <w:rsid w:val="00391BB1"/>
    <w:rsid w:val="003C6CF9"/>
    <w:rsid w:val="003D2DAB"/>
    <w:rsid w:val="004307B0"/>
    <w:rsid w:val="004374AD"/>
    <w:rsid w:val="00440EE8"/>
    <w:rsid w:val="00447D28"/>
    <w:rsid w:val="00465F4C"/>
    <w:rsid w:val="0047525F"/>
    <w:rsid w:val="004837C8"/>
    <w:rsid w:val="004971A9"/>
    <w:rsid w:val="004A773E"/>
    <w:rsid w:val="004D146C"/>
    <w:rsid w:val="004D5B0B"/>
    <w:rsid w:val="004D5EE2"/>
    <w:rsid w:val="004D71B0"/>
    <w:rsid w:val="004E698D"/>
    <w:rsid w:val="004F6E46"/>
    <w:rsid w:val="0051438A"/>
    <w:rsid w:val="00543FFF"/>
    <w:rsid w:val="00546C5D"/>
    <w:rsid w:val="00557BE3"/>
    <w:rsid w:val="005C6D1A"/>
    <w:rsid w:val="005E1B14"/>
    <w:rsid w:val="005F15A3"/>
    <w:rsid w:val="006207F5"/>
    <w:rsid w:val="00643FA0"/>
    <w:rsid w:val="00657C53"/>
    <w:rsid w:val="00666040"/>
    <w:rsid w:val="006709C8"/>
    <w:rsid w:val="0069296F"/>
    <w:rsid w:val="00693581"/>
    <w:rsid w:val="006B2085"/>
    <w:rsid w:val="006C3C34"/>
    <w:rsid w:val="0070225D"/>
    <w:rsid w:val="00720E89"/>
    <w:rsid w:val="00770D69"/>
    <w:rsid w:val="007F1E06"/>
    <w:rsid w:val="007F22E4"/>
    <w:rsid w:val="007F6938"/>
    <w:rsid w:val="00812985"/>
    <w:rsid w:val="008139A4"/>
    <w:rsid w:val="00830E47"/>
    <w:rsid w:val="00844739"/>
    <w:rsid w:val="00844D04"/>
    <w:rsid w:val="0086046B"/>
    <w:rsid w:val="008707F1"/>
    <w:rsid w:val="00876F3D"/>
    <w:rsid w:val="008A56A6"/>
    <w:rsid w:val="008B08D3"/>
    <w:rsid w:val="008C52DC"/>
    <w:rsid w:val="008C570A"/>
    <w:rsid w:val="008D64A0"/>
    <w:rsid w:val="009137F0"/>
    <w:rsid w:val="00924D4F"/>
    <w:rsid w:val="0092555E"/>
    <w:rsid w:val="00932528"/>
    <w:rsid w:val="00943861"/>
    <w:rsid w:val="009531FC"/>
    <w:rsid w:val="0097780F"/>
    <w:rsid w:val="00992395"/>
    <w:rsid w:val="009A0AC1"/>
    <w:rsid w:val="009B7188"/>
    <w:rsid w:val="009E265D"/>
    <w:rsid w:val="009F0EBF"/>
    <w:rsid w:val="00A279A9"/>
    <w:rsid w:val="00A54A70"/>
    <w:rsid w:val="00A66060"/>
    <w:rsid w:val="00A97F95"/>
    <w:rsid w:val="00AD7505"/>
    <w:rsid w:val="00AE1C38"/>
    <w:rsid w:val="00AF04A9"/>
    <w:rsid w:val="00AF6B0A"/>
    <w:rsid w:val="00B0504F"/>
    <w:rsid w:val="00B16548"/>
    <w:rsid w:val="00B63460"/>
    <w:rsid w:val="00B65F7A"/>
    <w:rsid w:val="00B74422"/>
    <w:rsid w:val="00B9400C"/>
    <w:rsid w:val="00B97311"/>
    <w:rsid w:val="00BA2493"/>
    <w:rsid w:val="00BA6694"/>
    <w:rsid w:val="00BA73F1"/>
    <w:rsid w:val="00BC6095"/>
    <w:rsid w:val="00BD1E14"/>
    <w:rsid w:val="00C332DF"/>
    <w:rsid w:val="00C40A8E"/>
    <w:rsid w:val="00C61657"/>
    <w:rsid w:val="00C6704A"/>
    <w:rsid w:val="00C743BD"/>
    <w:rsid w:val="00C875D6"/>
    <w:rsid w:val="00CE0A89"/>
    <w:rsid w:val="00CF03B0"/>
    <w:rsid w:val="00CF0DD5"/>
    <w:rsid w:val="00CF3400"/>
    <w:rsid w:val="00D12609"/>
    <w:rsid w:val="00D30BCF"/>
    <w:rsid w:val="00D4178C"/>
    <w:rsid w:val="00D50732"/>
    <w:rsid w:val="00D60092"/>
    <w:rsid w:val="00DB0AAC"/>
    <w:rsid w:val="00DF0CBC"/>
    <w:rsid w:val="00E11ECF"/>
    <w:rsid w:val="00E33F5F"/>
    <w:rsid w:val="00E35319"/>
    <w:rsid w:val="00E4096B"/>
    <w:rsid w:val="00E40FF7"/>
    <w:rsid w:val="00E63257"/>
    <w:rsid w:val="00E82B82"/>
    <w:rsid w:val="00E9163E"/>
    <w:rsid w:val="00EF198E"/>
    <w:rsid w:val="00F25FAE"/>
    <w:rsid w:val="00F3091A"/>
    <w:rsid w:val="00F64AA5"/>
    <w:rsid w:val="00F86C99"/>
    <w:rsid w:val="00FD07C5"/>
    <w:rsid w:val="00FE4E9A"/>
    <w:rsid w:val="00FE53F7"/>
    <w:rsid w:val="00FF0EAB"/>
    <w:rsid w:val="01213FFD"/>
    <w:rsid w:val="013D3559"/>
    <w:rsid w:val="01604A30"/>
    <w:rsid w:val="017B0D14"/>
    <w:rsid w:val="01877BE0"/>
    <w:rsid w:val="018A0385"/>
    <w:rsid w:val="01A141D3"/>
    <w:rsid w:val="01B96A07"/>
    <w:rsid w:val="021968E8"/>
    <w:rsid w:val="022B39E8"/>
    <w:rsid w:val="023A11E2"/>
    <w:rsid w:val="023E3548"/>
    <w:rsid w:val="02434330"/>
    <w:rsid w:val="027914DF"/>
    <w:rsid w:val="02B4390C"/>
    <w:rsid w:val="02CE16EA"/>
    <w:rsid w:val="02DD4F1E"/>
    <w:rsid w:val="02DF712A"/>
    <w:rsid w:val="02E348C7"/>
    <w:rsid w:val="02EB56AD"/>
    <w:rsid w:val="02F475E9"/>
    <w:rsid w:val="030544F3"/>
    <w:rsid w:val="03177D37"/>
    <w:rsid w:val="031C64B3"/>
    <w:rsid w:val="03655E69"/>
    <w:rsid w:val="03AA3522"/>
    <w:rsid w:val="03C32025"/>
    <w:rsid w:val="03D52A50"/>
    <w:rsid w:val="03EC20E8"/>
    <w:rsid w:val="03FC0B2F"/>
    <w:rsid w:val="04555B8A"/>
    <w:rsid w:val="04650360"/>
    <w:rsid w:val="04722012"/>
    <w:rsid w:val="047C41AF"/>
    <w:rsid w:val="04AE448B"/>
    <w:rsid w:val="04B421E7"/>
    <w:rsid w:val="04C27224"/>
    <w:rsid w:val="04C578EB"/>
    <w:rsid w:val="04D93AD2"/>
    <w:rsid w:val="04E227CB"/>
    <w:rsid w:val="052676E9"/>
    <w:rsid w:val="053A36E0"/>
    <w:rsid w:val="055354B7"/>
    <w:rsid w:val="05A32F7D"/>
    <w:rsid w:val="05AC09A4"/>
    <w:rsid w:val="05D93B69"/>
    <w:rsid w:val="05DF62C9"/>
    <w:rsid w:val="06266080"/>
    <w:rsid w:val="06280C38"/>
    <w:rsid w:val="064C6751"/>
    <w:rsid w:val="065F5CA3"/>
    <w:rsid w:val="0667246E"/>
    <w:rsid w:val="068271C1"/>
    <w:rsid w:val="06962803"/>
    <w:rsid w:val="06A34995"/>
    <w:rsid w:val="06A81421"/>
    <w:rsid w:val="06BA18E2"/>
    <w:rsid w:val="06D27FB4"/>
    <w:rsid w:val="06E27E1C"/>
    <w:rsid w:val="06FF18DB"/>
    <w:rsid w:val="070D61F7"/>
    <w:rsid w:val="072A0D93"/>
    <w:rsid w:val="073B730B"/>
    <w:rsid w:val="07476940"/>
    <w:rsid w:val="07666EEE"/>
    <w:rsid w:val="07726742"/>
    <w:rsid w:val="07A042A5"/>
    <w:rsid w:val="07D64B9D"/>
    <w:rsid w:val="07E2446F"/>
    <w:rsid w:val="07E76C63"/>
    <w:rsid w:val="08141031"/>
    <w:rsid w:val="085F2A28"/>
    <w:rsid w:val="08716EDC"/>
    <w:rsid w:val="089858B1"/>
    <w:rsid w:val="08B6520C"/>
    <w:rsid w:val="08CF269C"/>
    <w:rsid w:val="08D70F5A"/>
    <w:rsid w:val="09066B9A"/>
    <w:rsid w:val="09205F79"/>
    <w:rsid w:val="0996736D"/>
    <w:rsid w:val="099A7398"/>
    <w:rsid w:val="099C43B3"/>
    <w:rsid w:val="09C50F7F"/>
    <w:rsid w:val="09E22BB9"/>
    <w:rsid w:val="09E97311"/>
    <w:rsid w:val="0A161ABA"/>
    <w:rsid w:val="0A38008B"/>
    <w:rsid w:val="0A554687"/>
    <w:rsid w:val="0A6E213F"/>
    <w:rsid w:val="0A737891"/>
    <w:rsid w:val="0A946620"/>
    <w:rsid w:val="0A9713F9"/>
    <w:rsid w:val="0AAE18AD"/>
    <w:rsid w:val="0ADE7219"/>
    <w:rsid w:val="0AFA1F9C"/>
    <w:rsid w:val="0B2667EC"/>
    <w:rsid w:val="0B2A2D8E"/>
    <w:rsid w:val="0B4B624F"/>
    <w:rsid w:val="0B535815"/>
    <w:rsid w:val="0B5E7A64"/>
    <w:rsid w:val="0B68063A"/>
    <w:rsid w:val="0B68088C"/>
    <w:rsid w:val="0B6A6B4A"/>
    <w:rsid w:val="0B8A623A"/>
    <w:rsid w:val="0BA41AC2"/>
    <w:rsid w:val="0BCA20B1"/>
    <w:rsid w:val="0C035E34"/>
    <w:rsid w:val="0C0D6769"/>
    <w:rsid w:val="0C47635F"/>
    <w:rsid w:val="0C6B0C5C"/>
    <w:rsid w:val="0C6D281F"/>
    <w:rsid w:val="0CC915EF"/>
    <w:rsid w:val="0CF3401A"/>
    <w:rsid w:val="0D0C4887"/>
    <w:rsid w:val="0D123291"/>
    <w:rsid w:val="0D5E1E82"/>
    <w:rsid w:val="0D717F20"/>
    <w:rsid w:val="0D73696C"/>
    <w:rsid w:val="0D8362DC"/>
    <w:rsid w:val="0D946719"/>
    <w:rsid w:val="0D9E764C"/>
    <w:rsid w:val="0DC479EC"/>
    <w:rsid w:val="0DCA09CD"/>
    <w:rsid w:val="0DE03DAA"/>
    <w:rsid w:val="0E184064"/>
    <w:rsid w:val="0E1A5B95"/>
    <w:rsid w:val="0E4C3785"/>
    <w:rsid w:val="0E521F17"/>
    <w:rsid w:val="0E7979DF"/>
    <w:rsid w:val="0E955B91"/>
    <w:rsid w:val="0E9F2E15"/>
    <w:rsid w:val="0EDA4EE7"/>
    <w:rsid w:val="0EFA52F5"/>
    <w:rsid w:val="0F30511A"/>
    <w:rsid w:val="0F98720C"/>
    <w:rsid w:val="0FC87709"/>
    <w:rsid w:val="0FE253ED"/>
    <w:rsid w:val="0FE74813"/>
    <w:rsid w:val="0FF67C25"/>
    <w:rsid w:val="10481EA0"/>
    <w:rsid w:val="105E5D15"/>
    <w:rsid w:val="106649E2"/>
    <w:rsid w:val="106768A7"/>
    <w:rsid w:val="10C6520D"/>
    <w:rsid w:val="10D854F4"/>
    <w:rsid w:val="10ED4A98"/>
    <w:rsid w:val="10FB0D25"/>
    <w:rsid w:val="10FE05DE"/>
    <w:rsid w:val="113E32E3"/>
    <w:rsid w:val="115B6BCC"/>
    <w:rsid w:val="11AB3680"/>
    <w:rsid w:val="11DB00AF"/>
    <w:rsid w:val="120B1381"/>
    <w:rsid w:val="125C7367"/>
    <w:rsid w:val="126738EB"/>
    <w:rsid w:val="128013F6"/>
    <w:rsid w:val="12A33BA2"/>
    <w:rsid w:val="12A87A43"/>
    <w:rsid w:val="133B31B5"/>
    <w:rsid w:val="136645E0"/>
    <w:rsid w:val="137E7B85"/>
    <w:rsid w:val="13840215"/>
    <w:rsid w:val="13933D7F"/>
    <w:rsid w:val="139D6768"/>
    <w:rsid w:val="13BD4F80"/>
    <w:rsid w:val="13EF75EE"/>
    <w:rsid w:val="13FF44B8"/>
    <w:rsid w:val="1412509F"/>
    <w:rsid w:val="141C20AB"/>
    <w:rsid w:val="143F7C4F"/>
    <w:rsid w:val="146C060D"/>
    <w:rsid w:val="14757C1F"/>
    <w:rsid w:val="149557FC"/>
    <w:rsid w:val="14BE19EA"/>
    <w:rsid w:val="14D23394"/>
    <w:rsid w:val="14EF3313"/>
    <w:rsid w:val="14F53278"/>
    <w:rsid w:val="15000196"/>
    <w:rsid w:val="15075D35"/>
    <w:rsid w:val="151F2F4F"/>
    <w:rsid w:val="154B2B45"/>
    <w:rsid w:val="155B43C0"/>
    <w:rsid w:val="15641A0E"/>
    <w:rsid w:val="156C7372"/>
    <w:rsid w:val="15AE7AE2"/>
    <w:rsid w:val="15AF4B37"/>
    <w:rsid w:val="15EC49C9"/>
    <w:rsid w:val="15F30FA6"/>
    <w:rsid w:val="16042AE2"/>
    <w:rsid w:val="162A7122"/>
    <w:rsid w:val="16374BD9"/>
    <w:rsid w:val="16416503"/>
    <w:rsid w:val="164965D5"/>
    <w:rsid w:val="16677F78"/>
    <w:rsid w:val="168B14D6"/>
    <w:rsid w:val="16A60A59"/>
    <w:rsid w:val="16D84249"/>
    <w:rsid w:val="172D781F"/>
    <w:rsid w:val="174349F6"/>
    <w:rsid w:val="175F5F09"/>
    <w:rsid w:val="176810F2"/>
    <w:rsid w:val="176E6ACF"/>
    <w:rsid w:val="1787700F"/>
    <w:rsid w:val="17A62640"/>
    <w:rsid w:val="17CB664D"/>
    <w:rsid w:val="17EF69EC"/>
    <w:rsid w:val="180A4422"/>
    <w:rsid w:val="18185BDE"/>
    <w:rsid w:val="18305D12"/>
    <w:rsid w:val="188A16A3"/>
    <w:rsid w:val="18974002"/>
    <w:rsid w:val="189A1238"/>
    <w:rsid w:val="18A20A84"/>
    <w:rsid w:val="18BE6F62"/>
    <w:rsid w:val="18D0008E"/>
    <w:rsid w:val="18DD1E99"/>
    <w:rsid w:val="18DE2AA0"/>
    <w:rsid w:val="18FF5DE6"/>
    <w:rsid w:val="19041AB7"/>
    <w:rsid w:val="190E4FF2"/>
    <w:rsid w:val="194C2488"/>
    <w:rsid w:val="198C0916"/>
    <w:rsid w:val="198C5661"/>
    <w:rsid w:val="19B94F92"/>
    <w:rsid w:val="19CD3F17"/>
    <w:rsid w:val="19D73BAF"/>
    <w:rsid w:val="19E659B8"/>
    <w:rsid w:val="1A157CCB"/>
    <w:rsid w:val="1A38745F"/>
    <w:rsid w:val="1A663061"/>
    <w:rsid w:val="1A971FC4"/>
    <w:rsid w:val="1AE01561"/>
    <w:rsid w:val="1AE24299"/>
    <w:rsid w:val="1AE85717"/>
    <w:rsid w:val="1AF1073E"/>
    <w:rsid w:val="1B0352FA"/>
    <w:rsid w:val="1B1D5C40"/>
    <w:rsid w:val="1B271D24"/>
    <w:rsid w:val="1B334D6D"/>
    <w:rsid w:val="1B336A3E"/>
    <w:rsid w:val="1B414AA9"/>
    <w:rsid w:val="1B537ACC"/>
    <w:rsid w:val="1B9943C5"/>
    <w:rsid w:val="1BC10CBA"/>
    <w:rsid w:val="1C043049"/>
    <w:rsid w:val="1C117425"/>
    <w:rsid w:val="1C411332"/>
    <w:rsid w:val="1C432292"/>
    <w:rsid w:val="1C8C3551"/>
    <w:rsid w:val="1C8C61BB"/>
    <w:rsid w:val="1CA40529"/>
    <w:rsid w:val="1CB64443"/>
    <w:rsid w:val="1CBA0690"/>
    <w:rsid w:val="1CD71028"/>
    <w:rsid w:val="1CEB79FF"/>
    <w:rsid w:val="1D1E1174"/>
    <w:rsid w:val="1D201BC7"/>
    <w:rsid w:val="1D5326C0"/>
    <w:rsid w:val="1D7740AE"/>
    <w:rsid w:val="1D9D355D"/>
    <w:rsid w:val="1DB0353B"/>
    <w:rsid w:val="1DB1789B"/>
    <w:rsid w:val="1DB7353D"/>
    <w:rsid w:val="1DC54F41"/>
    <w:rsid w:val="1DDC023B"/>
    <w:rsid w:val="1E0F04CC"/>
    <w:rsid w:val="1E1E05EB"/>
    <w:rsid w:val="1E4A6F87"/>
    <w:rsid w:val="1EB31C24"/>
    <w:rsid w:val="1EB40C09"/>
    <w:rsid w:val="1ECC3B93"/>
    <w:rsid w:val="1EE60F2B"/>
    <w:rsid w:val="1F00693D"/>
    <w:rsid w:val="1F0C050B"/>
    <w:rsid w:val="1F127CD5"/>
    <w:rsid w:val="1F274C69"/>
    <w:rsid w:val="1F5135CB"/>
    <w:rsid w:val="1F5F3C7E"/>
    <w:rsid w:val="1F8E301B"/>
    <w:rsid w:val="1F8E7B71"/>
    <w:rsid w:val="1FB54B4E"/>
    <w:rsid w:val="1FC53B27"/>
    <w:rsid w:val="1FEA25E2"/>
    <w:rsid w:val="1FFB343D"/>
    <w:rsid w:val="20673E3C"/>
    <w:rsid w:val="208E4342"/>
    <w:rsid w:val="20B37A03"/>
    <w:rsid w:val="20D32BED"/>
    <w:rsid w:val="20D81381"/>
    <w:rsid w:val="20F55BAF"/>
    <w:rsid w:val="20F9075B"/>
    <w:rsid w:val="20FC5B56"/>
    <w:rsid w:val="210512C4"/>
    <w:rsid w:val="21133508"/>
    <w:rsid w:val="213C14BB"/>
    <w:rsid w:val="213F34F5"/>
    <w:rsid w:val="21B072DE"/>
    <w:rsid w:val="21C06F26"/>
    <w:rsid w:val="21D2652D"/>
    <w:rsid w:val="21D30F73"/>
    <w:rsid w:val="21EF0DE7"/>
    <w:rsid w:val="221B764E"/>
    <w:rsid w:val="22296824"/>
    <w:rsid w:val="22346451"/>
    <w:rsid w:val="223B4658"/>
    <w:rsid w:val="2295775B"/>
    <w:rsid w:val="22CC685F"/>
    <w:rsid w:val="22E10E81"/>
    <w:rsid w:val="23000C2A"/>
    <w:rsid w:val="23250274"/>
    <w:rsid w:val="23640C3C"/>
    <w:rsid w:val="23746CB4"/>
    <w:rsid w:val="238F73E0"/>
    <w:rsid w:val="239B4AB1"/>
    <w:rsid w:val="23A15F36"/>
    <w:rsid w:val="23EC0B96"/>
    <w:rsid w:val="241F5523"/>
    <w:rsid w:val="241F635F"/>
    <w:rsid w:val="24226ACD"/>
    <w:rsid w:val="245727F6"/>
    <w:rsid w:val="2459706E"/>
    <w:rsid w:val="24622344"/>
    <w:rsid w:val="248B066E"/>
    <w:rsid w:val="24F853F5"/>
    <w:rsid w:val="2532584D"/>
    <w:rsid w:val="253F7345"/>
    <w:rsid w:val="2555772A"/>
    <w:rsid w:val="256B6D46"/>
    <w:rsid w:val="25792419"/>
    <w:rsid w:val="25830708"/>
    <w:rsid w:val="25D936C9"/>
    <w:rsid w:val="25DA6441"/>
    <w:rsid w:val="25DB47EB"/>
    <w:rsid w:val="25DF2198"/>
    <w:rsid w:val="25F04848"/>
    <w:rsid w:val="25F80C92"/>
    <w:rsid w:val="25FA5E40"/>
    <w:rsid w:val="263B2D5C"/>
    <w:rsid w:val="263D7955"/>
    <w:rsid w:val="26536047"/>
    <w:rsid w:val="26536F82"/>
    <w:rsid w:val="265A09A7"/>
    <w:rsid w:val="268A20CA"/>
    <w:rsid w:val="26A91343"/>
    <w:rsid w:val="26BF4A0F"/>
    <w:rsid w:val="26F55C7A"/>
    <w:rsid w:val="27191811"/>
    <w:rsid w:val="27207CA5"/>
    <w:rsid w:val="279A77EC"/>
    <w:rsid w:val="27A66D0A"/>
    <w:rsid w:val="27CF4314"/>
    <w:rsid w:val="27D87F59"/>
    <w:rsid w:val="27DF0E0C"/>
    <w:rsid w:val="27FA4768"/>
    <w:rsid w:val="27FF6AD9"/>
    <w:rsid w:val="2858751D"/>
    <w:rsid w:val="28594AFA"/>
    <w:rsid w:val="28633737"/>
    <w:rsid w:val="28680AE2"/>
    <w:rsid w:val="289B5333"/>
    <w:rsid w:val="28AF0FB0"/>
    <w:rsid w:val="28B3494F"/>
    <w:rsid w:val="28D47033"/>
    <w:rsid w:val="28DA3709"/>
    <w:rsid w:val="28DD6BA6"/>
    <w:rsid w:val="28E7538B"/>
    <w:rsid w:val="29181EFA"/>
    <w:rsid w:val="29216D12"/>
    <w:rsid w:val="29291B6A"/>
    <w:rsid w:val="29371A63"/>
    <w:rsid w:val="293A289D"/>
    <w:rsid w:val="29433DD7"/>
    <w:rsid w:val="2971473F"/>
    <w:rsid w:val="297C7895"/>
    <w:rsid w:val="29AE155C"/>
    <w:rsid w:val="29B25829"/>
    <w:rsid w:val="29B554B0"/>
    <w:rsid w:val="29D62C33"/>
    <w:rsid w:val="29F15639"/>
    <w:rsid w:val="2A1D6942"/>
    <w:rsid w:val="2A1F38F7"/>
    <w:rsid w:val="2A40753C"/>
    <w:rsid w:val="2A4226D8"/>
    <w:rsid w:val="2A4E7B38"/>
    <w:rsid w:val="2A61206D"/>
    <w:rsid w:val="2A6743B1"/>
    <w:rsid w:val="2A71519C"/>
    <w:rsid w:val="2AB22178"/>
    <w:rsid w:val="2ADD2220"/>
    <w:rsid w:val="2ADD4D0F"/>
    <w:rsid w:val="2AE46E47"/>
    <w:rsid w:val="2AE61FD8"/>
    <w:rsid w:val="2B1C602F"/>
    <w:rsid w:val="2B302AD9"/>
    <w:rsid w:val="2B341D72"/>
    <w:rsid w:val="2B3C7A69"/>
    <w:rsid w:val="2B4D5784"/>
    <w:rsid w:val="2B587AC1"/>
    <w:rsid w:val="2B9E5B42"/>
    <w:rsid w:val="2BDB08FE"/>
    <w:rsid w:val="2C063C1C"/>
    <w:rsid w:val="2C1079D6"/>
    <w:rsid w:val="2C1B4A5F"/>
    <w:rsid w:val="2C6171F2"/>
    <w:rsid w:val="2C644116"/>
    <w:rsid w:val="2C64659F"/>
    <w:rsid w:val="2C811ED6"/>
    <w:rsid w:val="2C8531AA"/>
    <w:rsid w:val="2CCB5EB1"/>
    <w:rsid w:val="2CEF4DE7"/>
    <w:rsid w:val="2D1D50E5"/>
    <w:rsid w:val="2D2D1B75"/>
    <w:rsid w:val="2D367A24"/>
    <w:rsid w:val="2D61582B"/>
    <w:rsid w:val="2D6337DA"/>
    <w:rsid w:val="2D68764B"/>
    <w:rsid w:val="2D777BB3"/>
    <w:rsid w:val="2D7F5CC1"/>
    <w:rsid w:val="2D840555"/>
    <w:rsid w:val="2D8A3653"/>
    <w:rsid w:val="2D8B57E5"/>
    <w:rsid w:val="2D9373C5"/>
    <w:rsid w:val="2DE200C8"/>
    <w:rsid w:val="2DE7490B"/>
    <w:rsid w:val="2DEE7B74"/>
    <w:rsid w:val="2E0808A4"/>
    <w:rsid w:val="2E1474A9"/>
    <w:rsid w:val="2E2F1225"/>
    <w:rsid w:val="2E364E9C"/>
    <w:rsid w:val="2E65685E"/>
    <w:rsid w:val="2EE1015F"/>
    <w:rsid w:val="2F3603C8"/>
    <w:rsid w:val="2F482F5D"/>
    <w:rsid w:val="2F49542D"/>
    <w:rsid w:val="2F863075"/>
    <w:rsid w:val="2F874DEF"/>
    <w:rsid w:val="2FF376C3"/>
    <w:rsid w:val="30613BF5"/>
    <w:rsid w:val="3062455D"/>
    <w:rsid w:val="30A24BA9"/>
    <w:rsid w:val="30A43F63"/>
    <w:rsid w:val="30B25C21"/>
    <w:rsid w:val="31544EB6"/>
    <w:rsid w:val="31555FF6"/>
    <w:rsid w:val="31556379"/>
    <w:rsid w:val="315D53A1"/>
    <w:rsid w:val="31757DE9"/>
    <w:rsid w:val="319213FA"/>
    <w:rsid w:val="3193105E"/>
    <w:rsid w:val="31936E69"/>
    <w:rsid w:val="31DE7A51"/>
    <w:rsid w:val="31F071B2"/>
    <w:rsid w:val="31F576A7"/>
    <w:rsid w:val="32021281"/>
    <w:rsid w:val="32047687"/>
    <w:rsid w:val="322507E8"/>
    <w:rsid w:val="323B78D1"/>
    <w:rsid w:val="324C0138"/>
    <w:rsid w:val="328B083B"/>
    <w:rsid w:val="329A2DB4"/>
    <w:rsid w:val="329E60D8"/>
    <w:rsid w:val="32A05BC2"/>
    <w:rsid w:val="32A077BA"/>
    <w:rsid w:val="32A2734D"/>
    <w:rsid w:val="32A567D3"/>
    <w:rsid w:val="32B44D2F"/>
    <w:rsid w:val="32C373DE"/>
    <w:rsid w:val="33473641"/>
    <w:rsid w:val="335131A4"/>
    <w:rsid w:val="33801144"/>
    <w:rsid w:val="339A1DA0"/>
    <w:rsid w:val="33DD4D35"/>
    <w:rsid w:val="33F3155F"/>
    <w:rsid w:val="340F54F0"/>
    <w:rsid w:val="34305AF1"/>
    <w:rsid w:val="344C5F5E"/>
    <w:rsid w:val="34527075"/>
    <w:rsid w:val="34851788"/>
    <w:rsid w:val="34A7302B"/>
    <w:rsid w:val="34E4731E"/>
    <w:rsid w:val="35056610"/>
    <w:rsid w:val="35386720"/>
    <w:rsid w:val="35513D30"/>
    <w:rsid w:val="355D4F67"/>
    <w:rsid w:val="3585212B"/>
    <w:rsid w:val="3591788E"/>
    <w:rsid w:val="35BC7FC3"/>
    <w:rsid w:val="35C72934"/>
    <w:rsid w:val="35D971FA"/>
    <w:rsid w:val="35E67310"/>
    <w:rsid w:val="35EC751C"/>
    <w:rsid w:val="36107468"/>
    <w:rsid w:val="36581E64"/>
    <w:rsid w:val="367338EF"/>
    <w:rsid w:val="36AC0D6F"/>
    <w:rsid w:val="36B0461A"/>
    <w:rsid w:val="36FC7754"/>
    <w:rsid w:val="370E4955"/>
    <w:rsid w:val="373603B7"/>
    <w:rsid w:val="37521599"/>
    <w:rsid w:val="37630E20"/>
    <w:rsid w:val="37655801"/>
    <w:rsid w:val="376C148F"/>
    <w:rsid w:val="37A3706B"/>
    <w:rsid w:val="37A75599"/>
    <w:rsid w:val="37B427AD"/>
    <w:rsid w:val="37C85C09"/>
    <w:rsid w:val="380F1A74"/>
    <w:rsid w:val="38544F9F"/>
    <w:rsid w:val="38561795"/>
    <w:rsid w:val="385F7368"/>
    <w:rsid w:val="386F3307"/>
    <w:rsid w:val="388112FA"/>
    <w:rsid w:val="388B2645"/>
    <w:rsid w:val="38AD5DBF"/>
    <w:rsid w:val="38BE5D49"/>
    <w:rsid w:val="38BF1538"/>
    <w:rsid w:val="38CD3C01"/>
    <w:rsid w:val="38DE2A4F"/>
    <w:rsid w:val="38F06890"/>
    <w:rsid w:val="39195B7C"/>
    <w:rsid w:val="391E036E"/>
    <w:rsid w:val="39816E3F"/>
    <w:rsid w:val="399119BB"/>
    <w:rsid w:val="39C9507A"/>
    <w:rsid w:val="39E27ABD"/>
    <w:rsid w:val="39F33419"/>
    <w:rsid w:val="39FA0B3E"/>
    <w:rsid w:val="3A0A2615"/>
    <w:rsid w:val="3A170F30"/>
    <w:rsid w:val="3A73462E"/>
    <w:rsid w:val="3A750E79"/>
    <w:rsid w:val="3A8516D4"/>
    <w:rsid w:val="3AA22402"/>
    <w:rsid w:val="3AAF650E"/>
    <w:rsid w:val="3AF22387"/>
    <w:rsid w:val="3AF47484"/>
    <w:rsid w:val="3AF62634"/>
    <w:rsid w:val="3B2915A8"/>
    <w:rsid w:val="3B5B78AB"/>
    <w:rsid w:val="3B78546C"/>
    <w:rsid w:val="3B7E4D72"/>
    <w:rsid w:val="3BA33470"/>
    <w:rsid w:val="3BD53EB9"/>
    <w:rsid w:val="3BE46324"/>
    <w:rsid w:val="3BF13F56"/>
    <w:rsid w:val="3BF22328"/>
    <w:rsid w:val="3C012910"/>
    <w:rsid w:val="3C133F27"/>
    <w:rsid w:val="3C1433D4"/>
    <w:rsid w:val="3C392A84"/>
    <w:rsid w:val="3C5D255B"/>
    <w:rsid w:val="3C692BE2"/>
    <w:rsid w:val="3C694654"/>
    <w:rsid w:val="3C730FA8"/>
    <w:rsid w:val="3CA3195B"/>
    <w:rsid w:val="3CC41A64"/>
    <w:rsid w:val="3CE1437A"/>
    <w:rsid w:val="3CE52F69"/>
    <w:rsid w:val="3CE65FEF"/>
    <w:rsid w:val="3CF8420C"/>
    <w:rsid w:val="3D20751F"/>
    <w:rsid w:val="3D221FDE"/>
    <w:rsid w:val="3D3864FD"/>
    <w:rsid w:val="3D3E0199"/>
    <w:rsid w:val="3D4B2664"/>
    <w:rsid w:val="3D4F6BAA"/>
    <w:rsid w:val="3D592600"/>
    <w:rsid w:val="3D61033D"/>
    <w:rsid w:val="3D7C0FD0"/>
    <w:rsid w:val="3D800053"/>
    <w:rsid w:val="3DA96457"/>
    <w:rsid w:val="3DBB4D5B"/>
    <w:rsid w:val="3DF110BD"/>
    <w:rsid w:val="3E6700F0"/>
    <w:rsid w:val="3E7612A6"/>
    <w:rsid w:val="3E7D48F7"/>
    <w:rsid w:val="3E96094B"/>
    <w:rsid w:val="3EB02274"/>
    <w:rsid w:val="3EE05467"/>
    <w:rsid w:val="3EED56AE"/>
    <w:rsid w:val="3F09123D"/>
    <w:rsid w:val="3F192806"/>
    <w:rsid w:val="3F5828C0"/>
    <w:rsid w:val="3F600160"/>
    <w:rsid w:val="3F697715"/>
    <w:rsid w:val="3F880B7C"/>
    <w:rsid w:val="3FA84463"/>
    <w:rsid w:val="3FE208E2"/>
    <w:rsid w:val="40091687"/>
    <w:rsid w:val="400C61B2"/>
    <w:rsid w:val="402B4D11"/>
    <w:rsid w:val="408E01F7"/>
    <w:rsid w:val="40A37583"/>
    <w:rsid w:val="40FC13E8"/>
    <w:rsid w:val="415970F6"/>
    <w:rsid w:val="416E244E"/>
    <w:rsid w:val="41701F7E"/>
    <w:rsid w:val="419C7C19"/>
    <w:rsid w:val="41BA6138"/>
    <w:rsid w:val="41DE72AA"/>
    <w:rsid w:val="41F27D1E"/>
    <w:rsid w:val="42685F94"/>
    <w:rsid w:val="428E134D"/>
    <w:rsid w:val="42A3699C"/>
    <w:rsid w:val="42E457CF"/>
    <w:rsid w:val="4310732D"/>
    <w:rsid w:val="43171E44"/>
    <w:rsid w:val="4330742F"/>
    <w:rsid w:val="434151CF"/>
    <w:rsid w:val="434836E3"/>
    <w:rsid w:val="437E1FE0"/>
    <w:rsid w:val="439D4311"/>
    <w:rsid w:val="43DE0FA8"/>
    <w:rsid w:val="4407276F"/>
    <w:rsid w:val="44323514"/>
    <w:rsid w:val="444370BA"/>
    <w:rsid w:val="44492358"/>
    <w:rsid w:val="44497A52"/>
    <w:rsid w:val="444A0619"/>
    <w:rsid w:val="44BF41C9"/>
    <w:rsid w:val="45186453"/>
    <w:rsid w:val="451D44F3"/>
    <w:rsid w:val="452700CE"/>
    <w:rsid w:val="453629B7"/>
    <w:rsid w:val="4582218B"/>
    <w:rsid w:val="45B60321"/>
    <w:rsid w:val="45F17744"/>
    <w:rsid w:val="46072E44"/>
    <w:rsid w:val="461D299C"/>
    <w:rsid w:val="46444A2B"/>
    <w:rsid w:val="465312A2"/>
    <w:rsid w:val="467873D1"/>
    <w:rsid w:val="469341AD"/>
    <w:rsid w:val="46A53DD6"/>
    <w:rsid w:val="46B269DC"/>
    <w:rsid w:val="46B37CCB"/>
    <w:rsid w:val="46D4612F"/>
    <w:rsid w:val="46DC3833"/>
    <w:rsid w:val="470B304A"/>
    <w:rsid w:val="471E57CC"/>
    <w:rsid w:val="4720211C"/>
    <w:rsid w:val="47215710"/>
    <w:rsid w:val="47440E3F"/>
    <w:rsid w:val="474D1001"/>
    <w:rsid w:val="476C32E4"/>
    <w:rsid w:val="47703680"/>
    <w:rsid w:val="47753F43"/>
    <w:rsid w:val="479F6311"/>
    <w:rsid w:val="47AD63B5"/>
    <w:rsid w:val="47B22EC7"/>
    <w:rsid w:val="48032B1A"/>
    <w:rsid w:val="48320FC2"/>
    <w:rsid w:val="4838659A"/>
    <w:rsid w:val="484306A7"/>
    <w:rsid w:val="48595F53"/>
    <w:rsid w:val="485F7739"/>
    <w:rsid w:val="487B2214"/>
    <w:rsid w:val="487C3D20"/>
    <w:rsid w:val="48B20B37"/>
    <w:rsid w:val="48D12947"/>
    <w:rsid w:val="48E00AAD"/>
    <w:rsid w:val="48E947D9"/>
    <w:rsid w:val="490E6042"/>
    <w:rsid w:val="49254F62"/>
    <w:rsid w:val="492A3FA3"/>
    <w:rsid w:val="492F24A9"/>
    <w:rsid w:val="49374A83"/>
    <w:rsid w:val="49526EBF"/>
    <w:rsid w:val="497A4247"/>
    <w:rsid w:val="49831BC8"/>
    <w:rsid w:val="49AB3A45"/>
    <w:rsid w:val="49B30413"/>
    <w:rsid w:val="49C65E92"/>
    <w:rsid w:val="49F84829"/>
    <w:rsid w:val="4A1062E0"/>
    <w:rsid w:val="4A3F2CFD"/>
    <w:rsid w:val="4A513466"/>
    <w:rsid w:val="4AA13A43"/>
    <w:rsid w:val="4AC034D0"/>
    <w:rsid w:val="4AD525C1"/>
    <w:rsid w:val="4AFC58BD"/>
    <w:rsid w:val="4B04026F"/>
    <w:rsid w:val="4B4D1869"/>
    <w:rsid w:val="4B662495"/>
    <w:rsid w:val="4B6707F8"/>
    <w:rsid w:val="4B687300"/>
    <w:rsid w:val="4BA81668"/>
    <w:rsid w:val="4BB55360"/>
    <w:rsid w:val="4BC86B31"/>
    <w:rsid w:val="4BCE27D3"/>
    <w:rsid w:val="4BD839DB"/>
    <w:rsid w:val="4C026ED2"/>
    <w:rsid w:val="4C0D3D06"/>
    <w:rsid w:val="4C1A217A"/>
    <w:rsid w:val="4C737BDE"/>
    <w:rsid w:val="4C783B33"/>
    <w:rsid w:val="4C7D0A48"/>
    <w:rsid w:val="4C8C5795"/>
    <w:rsid w:val="4C956D19"/>
    <w:rsid w:val="4CA369B4"/>
    <w:rsid w:val="4CA80AAD"/>
    <w:rsid w:val="4CD750F2"/>
    <w:rsid w:val="4D0319DD"/>
    <w:rsid w:val="4D144A72"/>
    <w:rsid w:val="4D2149CC"/>
    <w:rsid w:val="4D3E42B3"/>
    <w:rsid w:val="4D72374D"/>
    <w:rsid w:val="4DBB3B32"/>
    <w:rsid w:val="4DC4501D"/>
    <w:rsid w:val="4DC96DF8"/>
    <w:rsid w:val="4DE76C08"/>
    <w:rsid w:val="4DED6305"/>
    <w:rsid w:val="4E0F5297"/>
    <w:rsid w:val="4E151D69"/>
    <w:rsid w:val="4E291CC3"/>
    <w:rsid w:val="4E2A22D4"/>
    <w:rsid w:val="4E2C5D4F"/>
    <w:rsid w:val="4E3910AE"/>
    <w:rsid w:val="4EAE5984"/>
    <w:rsid w:val="4EAF6B69"/>
    <w:rsid w:val="4EB10011"/>
    <w:rsid w:val="4EBB1958"/>
    <w:rsid w:val="4EE93CCC"/>
    <w:rsid w:val="4EF65D7C"/>
    <w:rsid w:val="4EF96036"/>
    <w:rsid w:val="4EFC6C96"/>
    <w:rsid w:val="4F053B57"/>
    <w:rsid w:val="4F10304E"/>
    <w:rsid w:val="4F23077B"/>
    <w:rsid w:val="4F353ACD"/>
    <w:rsid w:val="4FA71D9F"/>
    <w:rsid w:val="4FD23BA2"/>
    <w:rsid w:val="4FD5492D"/>
    <w:rsid w:val="4FDF78DA"/>
    <w:rsid w:val="4FE81AE3"/>
    <w:rsid w:val="504476DE"/>
    <w:rsid w:val="50811C84"/>
    <w:rsid w:val="509E620A"/>
    <w:rsid w:val="50B57F50"/>
    <w:rsid w:val="50D62375"/>
    <w:rsid w:val="510432E0"/>
    <w:rsid w:val="511A6786"/>
    <w:rsid w:val="51224B4C"/>
    <w:rsid w:val="513C21AE"/>
    <w:rsid w:val="514267F4"/>
    <w:rsid w:val="51AD30E3"/>
    <w:rsid w:val="51FE5A92"/>
    <w:rsid w:val="520F52DB"/>
    <w:rsid w:val="521B5207"/>
    <w:rsid w:val="528C7E99"/>
    <w:rsid w:val="52DC5D82"/>
    <w:rsid w:val="52E143E8"/>
    <w:rsid w:val="5322604C"/>
    <w:rsid w:val="532E331E"/>
    <w:rsid w:val="5350460E"/>
    <w:rsid w:val="53B1769F"/>
    <w:rsid w:val="53E377C9"/>
    <w:rsid w:val="54064F68"/>
    <w:rsid w:val="541A487C"/>
    <w:rsid w:val="541F5726"/>
    <w:rsid w:val="543E7C3F"/>
    <w:rsid w:val="546D3E1B"/>
    <w:rsid w:val="547E618D"/>
    <w:rsid w:val="54E86ECF"/>
    <w:rsid w:val="553B6987"/>
    <w:rsid w:val="553C3F1C"/>
    <w:rsid w:val="55585C10"/>
    <w:rsid w:val="55607228"/>
    <w:rsid w:val="556B42D1"/>
    <w:rsid w:val="558E2C75"/>
    <w:rsid w:val="55DD06CC"/>
    <w:rsid w:val="55DD16F7"/>
    <w:rsid w:val="55EA46A5"/>
    <w:rsid w:val="55FA490C"/>
    <w:rsid w:val="563C7EAE"/>
    <w:rsid w:val="56621BF2"/>
    <w:rsid w:val="56627446"/>
    <w:rsid w:val="566D3FFC"/>
    <w:rsid w:val="568D5CD2"/>
    <w:rsid w:val="56902ABD"/>
    <w:rsid w:val="56A45FC2"/>
    <w:rsid w:val="56CE49AA"/>
    <w:rsid w:val="573B0136"/>
    <w:rsid w:val="574C2E66"/>
    <w:rsid w:val="57566DF0"/>
    <w:rsid w:val="57710E1E"/>
    <w:rsid w:val="57826266"/>
    <w:rsid w:val="578E4F20"/>
    <w:rsid w:val="57AC086E"/>
    <w:rsid w:val="57BA3370"/>
    <w:rsid w:val="57E81B03"/>
    <w:rsid w:val="57F5624C"/>
    <w:rsid w:val="5800192F"/>
    <w:rsid w:val="581939A7"/>
    <w:rsid w:val="58342A1A"/>
    <w:rsid w:val="584223AA"/>
    <w:rsid w:val="58522137"/>
    <w:rsid w:val="58670B1E"/>
    <w:rsid w:val="589235CC"/>
    <w:rsid w:val="58941491"/>
    <w:rsid w:val="58F31420"/>
    <w:rsid w:val="59007EA6"/>
    <w:rsid w:val="591E0075"/>
    <w:rsid w:val="59762832"/>
    <w:rsid w:val="598F1722"/>
    <w:rsid w:val="59F6740B"/>
    <w:rsid w:val="5A12625A"/>
    <w:rsid w:val="5A1F1D05"/>
    <w:rsid w:val="5A371138"/>
    <w:rsid w:val="5A381314"/>
    <w:rsid w:val="5A391289"/>
    <w:rsid w:val="5A4D2F48"/>
    <w:rsid w:val="5A95464E"/>
    <w:rsid w:val="5A965F88"/>
    <w:rsid w:val="5A9F112E"/>
    <w:rsid w:val="5AB365D3"/>
    <w:rsid w:val="5AC15345"/>
    <w:rsid w:val="5B046AC9"/>
    <w:rsid w:val="5B313648"/>
    <w:rsid w:val="5B3A47EA"/>
    <w:rsid w:val="5B4E7F05"/>
    <w:rsid w:val="5B790769"/>
    <w:rsid w:val="5B96064B"/>
    <w:rsid w:val="5BA1386D"/>
    <w:rsid w:val="5BBE5848"/>
    <w:rsid w:val="5BCB11E4"/>
    <w:rsid w:val="5C044D3C"/>
    <w:rsid w:val="5C23444D"/>
    <w:rsid w:val="5C6730C7"/>
    <w:rsid w:val="5C7260DC"/>
    <w:rsid w:val="5CAB23FB"/>
    <w:rsid w:val="5CDE76F9"/>
    <w:rsid w:val="5CFA6ADF"/>
    <w:rsid w:val="5CFB192F"/>
    <w:rsid w:val="5D392332"/>
    <w:rsid w:val="5D3F5237"/>
    <w:rsid w:val="5D42169B"/>
    <w:rsid w:val="5D4E0121"/>
    <w:rsid w:val="5D8D4200"/>
    <w:rsid w:val="5D923313"/>
    <w:rsid w:val="5D970CBC"/>
    <w:rsid w:val="5DAC00AC"/>
    <w:rsid w:val="5DB31558"/>
    <w:rsid w:val="5E076932"/>
    <w:rsid w:val="5E095CDF"/>
    <w:rsid w:val="5E7B66B4"/>
    <w:rsid w:val="5EC05CCB"/>
    <w:rsid w:val="5EF710EE"/>
    <w:rsid w:val="5F2C3626"/>
    <w:rsid w:val="5F2E2E6C"/>
    <w:rsid w:val="5F31764E"/>
    <w:rsid w:val="5F4530C0"/>
    <w:rsid w:val="5F6F1C42"/>
    <w:rsid w:val="5FB40209"/>
    <w:rsid w:val="5FC534E1"/>
    <w:rsid w:val="5FE53C20"/>
    <w:rsid w:val="5FE95C3F"/>
    <w:rsid w:val="60341EB8"/>
    <w:rsid w:val="604678D2"/>
    <w:rsid w:val="60563B61"/>
    <w:rsid w:val="605E7B9E"/>
    <w:rsid w:val="60740F37"/>
    <w:rsid w:val="6076753F"/>
    <w:rsid w:val="60772E47"/>
    <w:rsid w:val="60D92F45"/>
    <w:rsid w:val="60E123A9"/>
    <w:rsid w:val="60F92C95"/>
    <w:rsid w:val="61070CB3"/>
    <w:rsid w:val="61220360"/>
    <w:rsid w:val="613806E4"/>
    <w:rsid w:val="6169451E"/>
    <w:rsid w:val="61A861E6"/>
    <w:rsid w:val="61B02903"/>
    <w:rsid w:val="61CD0F1C"/>
    <w:rsid w:val="61D10EB5"/>
    <w:rsid w:val="61DC4E94"/>
    <w:rsid w:val="61FC7F3D"/>
    <w:rsid w:val="62104837"/>
    <w:rsid w:val="62216703"/>
    <w:rsid w:val="62285B05"/>
    <w:rsid w:val="623A4EC1"/>
    <w:rsid w:val="623F24AD"/>
    <w:rsid w:val="62602CE2"/>
    <w:rsid w:val="62630666"/>
    <w:rsid w:val="627675B1"/>
    <w:rsid w:val="628D4FD3"/>
    <w:rsid w:val="62974DDF"/>
    <w:rsid w:val="62F005E2"/>
    <w:rsid w:val="62F22FC0"/>
    <w:rsid w:val="633021AB"/>
    <w:rsid w:val="63431265"/>
    <w:rsid w:val="63484CC0"/>
    <w:rsid w:val="636A0C41"/>
    <w:rsid w:val="63712406"/>
    <w:rsid w:val="6392700B"/>
    <w:rsid w:val="639C60D1"/>
    <w:rsid w:val="63C26F31"/>
    <w:rsid w:val="63F30CFE"/>
    <w:rsid w:val="64243AB3"/>
    <w:rsid w:val="644479B4"/>
    <w:rsid w:val="645A20E7"/>
    <w:rsid w:val="6482795A"/>
    <w:rsid w:val="6484652F"/>
    <w:rsid w:val="64854C26"/>
    <w:rsid w:val="64967801"/>
    <w:rsid w:val="649C4F30"/>
    <w:rsid w:val="64B23806"/>
    <w:rsid w:val="64BA10B7"/>
    <w:rsid w:val="64CE3FA9"/>
    <w:rsid w:val="64EB716D"/>
    <w:rsid w:val="64F91060"/>
    <w:rsid w:val="6505178B"/>
    <w:rsid w:val="65184CB3"/>
    <w:rsid w:val="651E2BE8"/>
    <w:rsid w:val="65527ABD"/>
    <w:rsid w:val="65620BDD"/>
    <w:rsid w:val="659B7D50"/>
    <w:rsid w:val="65AD435E"/>
    <w:rsid w:val="65BD7A28"/>
    <w:rsid w:val="65C1170E"/>
    <w:rsid w:val="65C23EC9"/>
    <w:rsid w:val="65C33681"/>
    <w:rsid w:val="65CC65AA"/>
    <w:rsid w:val="65D73A79"/>
    <w:rsid w:val="65EE2030"/>
    <w:rsid w:val="661F682C"/>
    <w:rsid w:val="6667363E"/>
    <w:rsid w:val="666C1D99"/>
    <w:rsid w:val="667669C3"/>
    <w:rsid w:val="6695378D"/>
    <w:rsid w:val="66B124F6"/>
    <w:rsid w:val="66C07C92"/>
    <w:rsid w:val="66E4624E"/>
    <w:rsid w:val="66E74620"/>
    <w:rsid w:val="67151B93"/>
    <w:rsid w:val="67156868"/>
    <w:rsid w:val="671845FD"/>
    <w:rsid w:val="674A0614"/>
    <w:rsid w:val="67787FF6"/>
    <w:rsid w:val="67C81388"/>
    <w:rsid w:val="67CB50F7"/>
    <w:rsid w:val="68423260"/>
    <w:rsid w:val="685C0E4F"/>
    <w:rsid w:val="685F372B"/>
    <w:rsid w:val="687B30ED"/>
    <w:rsid w:val="68A31D8C"/>
    <w:rsid w:val="68BE0798"/>
    <w:rsid w:val="68C93CD7"/>
    <w:rsid w:val="68E05802"/>
    <w:rsid w:val="68FE0E07"/>
    <w:rsid w:val="6920587F"/>
    <w:rsid w:val="694C068F"/>
    <w:rsid w:val="698302B3"/>
    <w:rsid w:val="698D69F1"/>
    <w:rsid w:val="69ED739A"/>
    <w:rsid w:val="69F13529"/>
    <w:rsid w:val="69F21267"/>
    <w:rsid w:val="6A687BEA"/>
    <w:rsid w:val="6A6978D9"/>
    <w:rsid w:val="6AD97609"/>
    <w:rsid w:val="6B2C0DBF"/>
    <w:rsid w:val="6B3A34DC"/>
    <w:rsid w:val="6B562778"/>
    <w:rsid w:val="6B832BBA"/>
    <w:rsid w:val="6BCE636D"/>
    <w:rsid w:val="6C342C9D"/>
    <w:rsid w:val="6C577C44"/>
    <w:rsid w:val="6C71460E"/>
    <w:rsid w:val="6C8131BD"/>
    <w:rsid w:val="6C875101"/>
    <w:rsid w:val="6CC1367D"/>
    <w:rsid w:val="6CF81400"/>
    <w:rsid w:val="6D007FC3"/>
    <w:rsid w:val="6D220EBA"/>
    <w:rsid w:val="6D2E10B8"/>
    <w:rsid w:val="6D377005"/>
    <w:rsid w:val="6D395385"/>
    <w:rsid w:val="6D4C73E0"/>
    <w:rsid w:val="6D660092"/>
    <w:rsid w:val="6D6B184D"/>
    <w:rsid w:val="6DB433FE"/>
    <w:rsid w:val="6DB94EE8"/>
    <w:rsid w:val="6DBD69A8"/>
    <w:rsid w:val="6DD84B15"/>
    <w:rsid w:val="6DEF37E4"/>
    <w:rsid w:val="6E0E7310"/>
    <w:rsid w:val="6E14528D"/>
    <w:rsid w:val="6E5F2069"/>
    <w:rsid w:val="6E6D61CA"/>
    <w:rsid w:val="6EB173BF"/>
    <w:rsid w:val="6EB36B39"/>
    <w:rsid w:val="6EE53B0B"/>
    <w:rsid w:val="6EF50E35"/>
    <w:rsid w:val="6F0E6813"/>
    <w:rsid w:val="6F151DFA"/>
    <w:rsid w:val="6F3B10A1"/>
    <w:rsid w:val="6F3E334B"/>
    <w:rsid w:val="6F4268BF"/>
    <w:rsid w:val="6F534861"/>
    <w:rsid w:val="6F660ADF"/>
    <w:rsid w:val="6F6E3B79"/>
    <w:rsid w:val="6FF53863"/>
    <w:rsid w:val="70345E32"/>
    <w:rsid w:val="703A1A6D"/>
    <w:rsid w:val="70C3188E"/>
    <w:rsid w:val="70E34B12"/>
    <w:rsid w:val="710B6A8F"/>
    <w:rsid w:val="71265D2D"/>
    <w:rsid w:val="715D7E64"/>
    <w:rsid w:val="717B6C97"/>
    <w:rsid w:val="718B44B5"/>
    <w:rsid w:val="71990ED7"/>
    <w:rsid w:val="71B86865"/>
    <w:rsid w:val="71C519AA"/>
    <w:rsid w:val="71CF5EDB"/>
    <w:rsid w:val="71FF4413"/>
    <w:rsid w:val="72162301"/>
    <w:rsid w:val="72283F21"/>
    <w:rsid w:val="7248476A"/>
    <w:rsid w:val="72A20355"/>
    <w:rsid w:val="72AF0D19"/>
    <w:rsid w:val="72CD4EFC"/>
    <w:rsid w:val="72D72C9A"/>
    <w:rsid w:val="72DF4648"/>
    <w:rsid w:val="72FD7D28"/>
    <w:rsid w:val="730E7CD2"/>
    <w:rsid w:val="732C2474"/>
    <w:rsid w:val="73315A75"/>
    <w:rsid w:val="73465ECB"/>
    <w:rsid w:val="73856F1F"/>
    <w:rsid w:val="738E2094"/>
    <w:rsid w:val="7395682A"/>
    <w:rsid w:val="73C75282"/>
    <w:rsid w:val="73CA63B3"/>
    <w:rsid w:val="7416252F"/>
    <w:rsid w:val="74287B91"/>
    <w:rsid w:val="747B6E63"/>
    <w:rsid w:val="747F7ECD"/>
    <w:rsid w:val="748E747C"/>
    <w:rsid w:val="749436AD"/>
    <w:rsid w:val="74B26E16"/>
    <w:rsid w:val="74B85632"/>
    <w:rsid w:val="74D60B38"/>
    <w:rsid w:val="74FA3984"/>
    <w:rsid w:val="74FF10C1"/>
    <w:rsid w:val="756001A4"/>
    <w:rsid w:val="75641240"/>
    <w:rsid w:val="7577200D"/>
    <w:rsid w:val="75AF484E"/>
    <w:rsid w:val="75B42E6F"/>
    <w:rsid w:val="75B5426F"/>
    <w:rsid w:val="75C45439"/>
    <w:rsid w:val="75D5635F"/>
    <w:rsid w:val="75EB34C8"/>
    <w:rsid w:val="760F3809"/>
    <w:rsid w:val="76213953"/>
    <w:rsid w:val="76296717"/>
    <w:rsid w:val="764065A1"/>
    <w:rsid w:val="76627C5F"/>
    <w:rsid w:val="7696538D"/>
    <w:rsid w:val="76C1614A"/>
    <w:rsid w:val="76D5409E"/>
    <w:rsid w:val="76F1214C"/>
    <w:rsid w:val="771B67C8"/>
    <w:rsid w:val="77240631"/>
    <w:rsid w:val="772D6E52"/>
    <w:rsid w:val="7760689C"/>
    <w:rsid w:val="7769092F"/>
    <w:rsid w:val="776A29FC"/>
    <w:rsid w:val="778C1247"/>
    <w:rsid w:val="778E5FC7"/>
    <w:rsid w:val="779A3453"/>
    <w:rsid w:val="77A33112"/>
    <w:rsid w:val="77D91853"/>
    <w:rsid w:val="783A597A"/>
    <w:rsid w:val="783D1B55"/>
    <w:rsid w:val="785F73C7"/>
    <w:rsid w:val="789A639B"/>
    <w:rsid w:val="789F55C4"/>
    <w:rsid w:val="78BD2DC3"/>
    <w:rsid w:val="78D67C51"/>
    <w:rsid w:val="78EC73B7"/>
    <w:rsid w:val="78ED28C2"/>
    <w:rsid w:val="78F22922"/>
    <w:rsid w:val="78F5161A"/>
    <w:rsid w:val="79353DCF"/>
    <w:rsid w:val="795A6EBB"/>
    <w:rsid w:val="799D33DC"/>
    <w:rsid w:val="79B01AA0"/>
    <w:rsid w:val="79D238D3"/>
    <w:rsid w:val="79E73480"/>
    <w:rsid w:val="79FD7FA5"/>
    <w:rsid w:val="7A191660"/>
    <w:rsid w:val="7A2A721C"/>
    <w:rsid w:val="7A2E7EF8"/>
    <w:rsid w:val="7A2F353F"/>
    <w:rsid w:val="7A6F1673"/>
    <w:rsid w:val="7A717460"/>
    <w:rsid w:val="7AA218F7"/>
    <w:rsid w:val="7AB2213D"/>
    <w:rsid w:val="7ACE5C86"/>
    <w:rsid w:val="7AEF141D"/>
    <w:rsid w:val="7B0D4F51"/>
    <w:rsid w:val="7B17018B"/>
    <w:rsid w:val="7B2872C9"/>
    <w:rsid w:val="7B3E38C3"/>
    <w:rsid w:val="7BC8080B"/>
    <w:rsid w:val="7BD37BC1"/>
    <w:rsid w:val="7BF37BDB"/>
    <w:rsid w:val="7BF717F7"/>
    <w:rsid w:val="7BF9773D"/>
    <w:rsid w:val="7BFE22B6"/>
    <w:rsid w:val="7C2D474F"/>
    <w:rsid w:val="7C5253E7"/>
    <w:rsid w:val="7CC5597A"/>
    <w:rsid w:val="7CD0609D"/>
    <w:rsid w:val="7CD372EE"/>
    <w:rsid w:val="7CD54F0D"/>
    <w:rsid w:val="7CF70371"/>
    <w:rsid w:val="7D1D71EE"/>
    <w:rsid w:val="7D3B6881"/>
    <w:rsid w:val="7D7A238E"/>
    <w:rsid w:val="7D8B5DC4"/>
    <w:rsid w:val="7D8E23B2"/>
    <w:rsid w:val="7DF13D56"/>
    <w:rsid w:val="7E0653CB"/>
    <w:rsid w:val="7E0C426F"/>
    <w:rsid w:val="7E10027C"/>
    <w:rsid w:val="7E2466E2"/>
    <w:rsid w:val="7E254D75"/>
    <w:rsid w:val="7E413CB0"/>
    <w:rsid w:val="7E660FCD"/>
    <w:rsid w:val="7E6720E3"/>
    <w:rsid w:val="7E713A2F"/>
    <w:rsid w:val="7E8C4A10"/>
    <w:rsid w:val="7EA05FAB"/>
    <w:rsid w:val="7EDE439D"/>
    <w:rsid w:val="7EF1450C"/>
    <w:rsid w:val="7EF93E0E"/>
    <w:rsid w:val="7EFA58A6"/>
    <w:rsid w:val="7F51086B"/>
    <w:rsid w:val="7F5121F1"/>
    <w:rsid w:val="7F68550C"/>
    <w:rsid w:val="7F767ADA"/>
    <w:rsid w:val="7F89201A"/>
    <w:rsid w:val="7F897C17"/>
    <w:rsid w:val="7FE91BA5"/>
    <w:rsid w:val="7FF755B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24"/>
    <w:qFormat/>
    <w:uiPriority w:val="0"/>
    <w:pPr>
      <w:keepNext/>
      <w:keepLines/>
      <w:spacing w:before="260" w:after="260" w:line="416" w:lineRule="auto"/>
      <w:outlineLvl w:val="1"/>
    </w:pPr>
    <w:rPr>
      <w:rFonts w:ascii="Cambria" w:hAnsi="Cambria" w:cs="Times New Roman"/>
      <w:b/>
      <w:bCs/>
      <w:sz w:val="32"/>
      <w:szCs w:val="32"/>
    </w:rPr>
  </w:style>
  <w:style w:type="character" w:default="1" w:styleId="12">
    <w:name w:val="Default Paragraph Font"/>
    <w:unhideWhenUsed/>
    <w:uiPriority w:val="1"/>
  </w:style>
  <w:style w:type="table" w:default="1" w:styleId="15">
    <w:name w:val="Normal Table"/>
    <w:unhideWhenUsed/>
    <w:qFormat/>
    <w:uiPriority w:val="99"/>
    <w:tblPr>
      <w:tblStyle w:val="15"/>
      <w:tblLayout w:type="fixed"/>
      <w:tblCellMar>
        <w:top w:w="0" w:type="dxa"/>
        <w:left w:w="108" w:type="dxa"/>
        <w:bottom w:w="0" w:type="dxa"/>
        <w:right w:w="108" w:type="dxa"/>
      </w:tblCellMar>
    </w:tblPr>
    <w:tcPr>
      <w:textDirection w:val="lrTb"/>
    </w:tcPr>
  </w:style>
  <w:style w:type="paragraph" w:styleId="3">
    <w:name w:val="annotation subject"/>
    <w:basedOn w:val="4"/>
    <w:next w:val="4"/>
    <w:link w:val="30"/>
    <w:unhideWhenUsed/>
    <w:qFormat/>
    <w:uiPriority w:val="99"/>
    <w:rPr>
      <w:b/>
      <w:bCs/>
    </w:rPr>
  </w:style>
  <w:style w:type="paragraph" w:styleId="4">
    <w:name w:val="annotation text"/>
    <w:basedOn w:val="1"/>
    <w:link w:val="29"/>
    <w:unhideWhenUsed/>
    <w:qFormat/>
    <w:uiPriority w:val="99"/>
    <w:pPr>
      <w:jc w:val="left"/>
    </w:pPr>
  </w:style>
  <w:style w:type="paragraph" w:styleId="5">
    <w:name w:val="Date"/>
    <w:basedOn w:val="1"/>
    <w:next w:val="1"/>
    <w:link w:val="27"/>
    <w:unhideWhenUsed/>
    <w:qFormat/>
    <w:uiPriority w:val="99"/>
    <w:pPr>
      <w:ind w:left="100" w:leftChars="2500"/>
    </w:pPr>
  </w:style>
  <w:style w:type="paragraph" w:styleId="6">
    <w:name w:val="Balloon Text"/>
    <w:basedOn w:val="1"/>
    <w:link w:val="28"/>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5"/>
    <w:semiHidden/>
    <w:qFormat/>
    <w:uiPriority w:val="0"/>
    <w:pPr>
      <w:snapToGrid w:val="0"/>
      <w:jc w:val="left"/>
    </w:pPr>
    <w:rPr>
      <w:rFonts w:ascii="Times New Roman" w:hAnsi="Times New Roman" w:cs="Times New Roman"/>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color w:val="008080"/>
      <w:kern w:val="0"/>
      <w:sz w:val="24"/>
      <w:szCs w:val="24"/>
    </w:rPr>
  </w:style>
  <w:style w:type="paragraph" w:styleId="11">
    <w:name w:val="Title"/>
    <w:basedOn w:val="1"/>
    <w:next w:val="1"/>
    <w:qFormat/>
    <w:uiPriority w:val="10"/>
    <w:pPr>
      <w:spacing w:before="240" w:after="60"/>
      <w:jc w:val="center"/>
      <w:outlineLvl w:val="0"/>
    </w:pPr>
    <w:rPr>
      <w:rFonts w:ascii="Calibri Light" w:hAnsi="Calibri Light" w:cs="黑体"/>
      <w:b/>
      <w:bCs/>
      <w:sz w:val="32"/>
      <w:szCs w:val="32"/>
    </w:rPr>
  </w:style>
  <w:style w:type="character" w:styleId="13">
    <w:name w:val="annotation reference"/>
    <w:semiHidden/>
    <w:qFormat/>
    <w:uiPriority w:val="0"/>
    <w:rPr>
      <w:rFonts w:cs="Times New Roman"/>
      <w:sz w:val="21"/>
      <w:szCs w:val="21"/>
    </w:rPr>
  </w:style>
  <w:style w:type="character" w:styleId="14">
    <w:name w:val="footnote reference"/>
    <w:unhideWhenUsed/>
    <w:qFormat/>
    <w:uiPriority w:val="0"/>
    <w:rPr>
      <w:rFonts w:ascii="Times New Roman" w:hAnsi="Times New Roman" w:cs="Times New Roman"/>
      <w:vertAlign w:val="superscript"/>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p0"/>
    <w:basedOn w:val="1"/>
    <w:qFormat/>
    <w:uiPriority w:val="0"/>
    <w:pPr>
      <w:widowControl/>
    </w:pPr>
    <w:rPr>
      <w:rFonts w:ascii="Times New Roman" w:hAnsi="Times New Roman" w:cs="Times New Roman"/>
      <w:kern w:val="0"/>
      <w:sz w:val="30"/>
      <w:szCs w:val="30"/>
    </w:rPr>
  </w:style>
  <w:style w:type="paragraph" w:customStyle="1" w:styleId="18">
    <w:name w:val="列出段落1"/>
    <w:basedOn w:val="1"/>
    <w:qFormat/>
    <w:uiPriority w:val="34"/>
    <w:pPr>
      <w:ind w:firstLine="420" w:firstLineChars="200"/>
    </w:pPr>
    <w:rPr>
      <w:rFonts w:ascii="等线" w:hAnsi="等线" w:eastAsia="等线"/>
    </w:rPr>
  </w:style>
  <w:style w:type="paragraph" w:customStyle="1" w:styleId="19">
    <w:name w:val="列出段落4"/>
    <w:basedOn w:val="1"/>
    <w:qFormat/>
    <w:uiPriority w:val="0"/>
    <w:pPr>
      <w:ind w:firstLine="200" w:firstLineChars="200"/>
    </w:pPr>
    <w:rPr>
      <w:rFonts w:cs="Times New Roman"/>
    </w:rPr>
  </w:style>
  <w:style w:type="paragraph" w:customStyle="1" w:styleId="20">
    <w:name w:val="列表段落1"/>
    <w:basedOn w:val="1"/>
    <w:qFormat/>
    <w:uiPriority w:val="34"/>
    <w:pPr>
      <w:ind w:firstLine="420" w:firstLineChars="200"/>
    </w:pPr>
    <w:rPr>
      <w:rFonts w:ascii="Times New Roman" w:hAnsi="Times New Roman" w:cs="Times New Roman"/>
      <w:szCs w:val="24"/>
    </w:rPr>
  </w:style>
  <w:style w:type="paragraph" w:customStyle="1" w:styleId="21">
    <w:name w:val="列出段落3"/>
    <w:basedOn w:val="1"/>
    <w:qFormat/>
    <w:uiPriority w:val="99"/>
    <w:pPr>
      <w:spacing w:line="240" w:lineRule="auto"/>
      <w:ind w:firstLine="420"/>
    </w:pPr>
  </w:style>
  <w:style w:type="character" w:customStyle="1" w:styleId="22">
    <w:name w:val="页眉 Char"/>
    <w:basedOn w:val="12"/>
    <w:link w:val="8"/>
    <w:qFormat/>
    <w:uiPriority w:val="99"/>
    <w:rPr>
      <w:sz w:val="18"/>
      <w:szCs w:val="18"/>
    </w:rPr>
  </w:style>
  <w:style w:type="character" w:customStyle="1" w:styleId="23">
    <w:name w:val="页脚 Char"/>
    <w:basedOn w:val="12"/>
    <w:link w:val="7"/>
    <w:qFormat/>
    <w:uiPriority w:val="99"/>
    <w:rPr>
      <w:sz w:val="18"/>
      <w:szCs w:val="18"/>
    </w:rPr>
  </w:style>
  <w:style w:type="character" w:customStyle="1" w:styleId="24">
    <w:name w:val="标题 2 Char"/>
    <w:basedOn w:val="12"/>
    <w:link w:val="2"/>
    <w:qFormat/>
    <w:uiPriority w:val="0"/>
    <w:rPr>
      <w:rFonts w:ascii="Cambria" w:hAnsi="Cambria" w:eastAsia="宋体" w:cs="Times New Roman"/>
      <w:b/>
      <w:bCs/>
      <w:sz w:val="32"/>
      <w:szCs w:val="32"/>
    </w:rPr>
  </w:style>
  <w:style w:type="character" w:customStyle="1" w:styleId="25">
    <w:name w:val="脚注文本 Char"/>
    <w:basedOn w:val="12"/>
    <w:link w:val="9"/>
    <w:semiHidden/>
    <w:qFormat/>
    <w:uiPriority w:val="0"/>
    <w:rPr>
      <w:rFonts w:ascii="Times New Roman" w:hAnsi="Times New Roman" w:eastAsia="宋体" w:cs="Times New Roman"/>
      <w:sz w:val="18"/>
      <w:szCs w:val="18"/>
    </w:rPr>
  </w:style>
  <w:style w:type="character" w:customStyle="1" w:styleId="26">
    <w:name w:val="脚注文本 Char Char"/>
    <w:basedOn w:val="12"/>
    <w:qFormat/>
    <w:uiPriority w:val="99"/>
    <w:rPr>
      <w:sz w:val="18"/>
      <w:szCs w:val="18"/>
    </w:rPr>
  </w:style>
  <w:style w:type="character" w:customStyle="1" w:styleId="27">
    <w:name w:val="日期 Char"/>
    <w:basedOn w:val="12"/>
    <w:link w:val="5"/>
    <w:semiHidden/>
    <w:qFormat/>
    <w:uiPriority w:val="99"/>
    <w:rPr/>
  </w:style>
  <w:style w:type="character" w:customStyle="1" w:styleId="28">
    <w:name w:val="批注框文本 Char"/>
    <w:basedOn w:val="12"/>
    <w:link w:val="6"/>
    <w:semiHidden/>
    <w:qFormat/>
    <w:uiPriority w:val="99"/>
    <w:rPr>
      <w:rFonts w:ascii="Calibri" w:hAnsi="Calibri" w:eastAsia="宋体" w:cs="黑体"/>
      <w:kern w:val="2"/>
      <w:sz w:val="18"/>
      <w:szCs w:val="18"/>
    </w:rPr>
  </w:style>
  <w:style w:type="character" w:customStyle="1" w:styleId="29">
    <w:name w:val="批注文字 Char"/>
    <w:basedOn w:val="12"/>
    <w:link w:val="4"/>
    <w:semiHidden/>
    <w:qFormat/>
    <w:uiPriority w:val="99"/>
    <w:rPr>
      <w:rFonts w:ascii="Calibri" w:hAnsi="Calibri" w:eastAsia="宋体" w:cs="黑体"/>
      <w:kern w:val="2"/>
      <w:sz w:val="21"/>
      <w:szCs w:val="22"/>
    </w:rPr>
  </w:style>
  <w:style w:type="character" w:customStyle="1" w:styleId="30">
    <w:name w:val="批注主题 Char"/>
    <w:basedOn w:val="29"/>
    <w:link w:val="3"/>
    <w:qFormat/>
    <w:uiPriority w:val="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769</Words>
  <Characters>4388</Characters>
  <Lines>36</Lines>
  <Paragraphs>10</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2021-04-26T07:33:00Z</dcterms:created>
  <dc:creator>蔡群</dc:creator>
  <cp:lastModifiedBy>刘海燕</cp:lastModifiedBy>
  <cp:lastPrinted>2021-10-27T00:42:00Z</cp:lastPrinted>
  <dcterms:modified xsi:type="dcterms:W3CDTF">2021-11-10T00:39:14Z</dcterms:modified>
  <dc:title>国家外汇管理局**分局关于印发</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