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89" w:rsidRDefault="001326C8">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D05289" w:rsidRDefault="00D05289">
      <w:pPr>
        <w:ind w:right="300"/>
        <w:jc w:val="center"/>
        <w:rPr>
          <w:rFonts w:ascii="Times New Roman" w:eastAsia="黑体" w:hAnsi="Times New Roman" w:cs="Times New Roman"/>
          <w:sz w:val="30"/>
          <w:szCs w:val="30"/>
        </w:rPr>
      </w:pPr>
    </w:p>
    <w:p w:rsidR="00D05289" w:rsidRDefault="00D05289">
      <w:pPr>
        <w:ind w:right="300"/>
        <w:jc w:val="center"/>
        <w:rPr>
          <w:rFonts w:ascii="Times New Roman" w:eastAsia="黑体" w:hAnsi="Times New Roman" w:cs="Times New Roman"/>
          <w:sz w:val="30"/>
          <w:szCs w:val="30"/>
        </w:rPr>
      </w:pPr>
    </w:p>
    <w:p w:rsidR="00D05289" w:rsidRDefault="00D05289">
      <w:pPr>
        <w:ind w:right="300"/>
        <w:jc w:val="center"/>
        <w:rPr>
          <w:rFonts w:ascii="Times New Roman" w:eastAsia="黑体" w:hAnsi="Times New Roman" w:cs="Times New Roman"/>
          <w:sz w:val="30"/>
          <w:szCs w:val="30"/>
        </w:rPr>
      </w:pPr>
    </w:p>
    <w:p w:rsidR="00D05289" w:rsidRDefault="00D05289">
      <w:pPr>
        <w:ind w:right="300"/>
        <w:jc w:val="center"/>
        <w:rPr>
          <w:rFonts w:ascii="Times New Roman" w:eastAsia="黑体" w:hAnsi="Times New Roman" w:cs="Times New Roman"/>
          <w:sz w:val="52"/>
          <w:szCs w:val="52"/>
        </w:rPr>
      </w:pPr>
    </w:p>
    <w:p w:rsidR="00D05289" w:rsidRDefault="001326C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资本项目外汇资金汇出境外的购付汇核准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1326C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05289" w:rsidRDefault="001326C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05289" w:rsidRDefault="001326C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D05289" w:rsidRDefault="00D05289">
      <w:pPr>
        <w:ind w:right="300"/>
        <w:rPr>
          <w:rFonts w:ascii="Times New Roman" w:eastAsia="仿宋_GB2312" w:hAnsi="Times New Roman" w:cs="Times New Roman"/>
          <w:sz w:val="30"/>
          <w:szCs w:val="30"/>
        </w:rPr>
      </w:pPr>
    </w:p>
    <w:p w:rsidR="00D05289" w:rsidRDefault="00D05289">
      <w:pPr>
        <w:widowControl/>
        <w:jc w:val="left"/>
        <w:rPr>
          <w:rFonts w:ascii="Times New Roman" w:eastAsia="仿宋_GB2312" w:hAnsi="Times New Roman" w:cs="Times New Roman"/>
          <w:sz w:val="30"/>
          <w:szCs w:val="30"/>
        </w:rPr>
        <w:sectPr w:rsidR="00D05289">
          <w:footerReference w:type="default" r:id="rId9"/>
          <w:pgSz w:w="11906" w:h="16838"/>
          <w:pgMar w:top="1440" w:right="1800" w:bottom="1440" w:left="1800" w:header="851" w:footer="992" w:gutter="0"/>
          <w:cols w:space="720"/>
          <w:docGrid w:type="lines" w:linePitch="312"/>
        </w:sectPr>
      </w:pP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r>
        <w:rPr>
          <w:rFonts w:ascii="Times New Roman" w:eastAsia="仿宋_GB2312" w:hAnsi="Times New Roman" w:cs="Times New Roman"/>
          <w:sz w:val="30"/>
          <w:szCs w:val="30"/>
        </w:rPr>
        <w:t>；</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D05289" w:rsidRDefault="001326C8">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05289" w:rsidRDefault="001326C8">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05289" w:rsidRDefault="001326C8">
      <w:pPr>
        <w:adjustRightInd w:val="0"/>
        <w:snapToGrid w:val="0"/>
        <w:spacing w:line="360" w:lineRule="auto"/>
        <w:ind w:firstLine="585"/>
        <w:outlineLvl w:val="0"/>
        <w:rPr>
          <w:rFonts w:ascii="Times New Roman" w:hAnsi="Times New Roman" w:cs="Times New Roman"/>
          <w:sz w:val="24"/>
          <w:szCs w:val="24"/>
        </w:rPr>
      </w:pPr>
      <w:r>
        <w:rPr>
          <w:rFonts w:ascii="Times New Roman" w:eastAsia="黑体" w:hAnsi="Times New Roman" w:cs="Times New Roman"/>
          <w:sz w:val="30"/>
          <w:szCs w:val="30"/>
        </w:rPr>
        <w:t>四、继承财产转移核准</w:t>
      </w:r>
    </w:p>
    <w:p w:rsidR="00D05289" w:rsidRDefault="001326C8">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D05289" w:rsidRDefault="001326C8">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D05289" w:rsidRDefault="001326C8">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《个人财产对外转移售付汇管理暂行办法》（中国人民银行公告</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号）。</w:t>
      </w:r>
    </w:p>
    <w:p w:rsidR="00D05289" w:rsidRDefault="001326C8">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个人财产对外转移售付汇管理暂行办法操作指引（试行）</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的通知》（汇发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118</w:t>
      </w:r>
      <w:r>
        <w:rPr>
          <w:rFonts w:ascii="Times New Roman" w:eastAsia="仿宋_GB2312" w:hAnsi="Times New Roman" w:cs="Times New Roman"/>
          <w:sz w:val="30"/>
          <w:szCs w:val="30"/>
        </w:rPr>
        <w:t>号）。</w:t>
      </w:r>
    </w:p>
    <w:p w:rsidR="00D05289" w:rsidRDefault="001326C8">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．《国家税务总局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国家外汇管理局关于个人财产对外转移提交税收证明或者完税凭证有关问题的通知》（国税发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D05289" w:rsidRDefault="001326C8">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外交部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公安部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监察部</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司法部关于实施</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个人财产对外转移售付汇管理暂行办法</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有关问题的通知》</w:t>
      </w:r>
      <w:r>
        <w:rPr>
          <w:rFonts w:ascii="Times New Roman" w:eastAsia="仿宋_GB2312" w:hAnsi="Times New Roman" w:cs="Times New Roman"/>
          <w:sz w:val="30"/>
          <w:szCs w:val="30"/>
        </w:rPr>
        <w:lastRenderedPageBreak/>
        <w:t>（汇发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200</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被继承人生前户籍所在地外汇局。继承人从不同被继承人处继承财产，可选择其中一个被继承人生前户籍所在地外汇局合并提交申请材料。</w:t>
      </w: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被继承人生前户籍所在地外汇局。</w:t>
      </w: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申请人为需将依法继承的境内遗产变现的外国公民、香港特别行政区、澳门特别行政区居民或台湾地区居民。</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司法、监察等部门依法限制对外转移的财产对外转移申请，不予受理。</w:t>
      </w:r>
    </w:p>
    <w:p w:rsidR="00D05289" w:rsidRDefault="001326C8">
      <w:pPr>
        <w:tabs>
          <w:tab w:val="left" w:pos="8306"/>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对涉及国家公职人员（根据《中华人民共和国监察法》，国家公职人员包括公务员，以及参照《中华人民共和国公务员法》管理的人员；法律、法规授权</w:t>
      </w:r>
      <w:r>
        <w:rPr>
          <w:rFonts w:ascii="Times New Roman" w:eastAsia="仿宋_GB2312" w:hAnsi="Times New Roman" w:cs="Times New Roman"/>
          <w:sz w:val="30"/>
          <w:szCs w:val="30"/>
        </w:rPr>
        <w:t>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万元人民币的申请，在审核过程中可向相应级别的监察部门（省级（含）以上）进行询证。对大额可疑或涉嫌非法转移财产的申请，在审核过程中要询证相应级别的公安、司法部门。</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禁止性要求：如符合上述条件，不存在不予许可的情况。</w:t>
      </w:r>
    </w:p>
    <w:p w:rsidR="00D05289" w:rsidRDefault="001326C8">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567"/>
        <w:gridCol w:w="850"/>
        <w:gridCol w:w="3107"/>
        <w:gridCol w:w="1218"/>
      </w:tblGrid>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申请人身份证明文件</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）申请人为外国公民的，应提供：</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申请人持有的外国护照或其他证明其国籍的证明文件。</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申请人居住国居民身份证或其他有效身份证明。</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③</w:t>
            </w:r>
            <w:r>
              <w:rPr>
                <w:rFonts w:ascii="Times New Roman" w:eastAsia="仿宋_GB2312" w:hAnsi="Times New Roman" w:cs="Times New Roman"/>
                <w:sz w:val="24"/>
              </w:rPr>
              <w:t>中国驻外使领馆出具（或认证）的申请人在该国定居证明。</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）申请人为香港特别行政区、澳门特别行政区居民的，应提供：</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香港特别行政区、澳门特别行政区（永久）居民身份证或其他有效身份证明。</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港澳居民来往内地通行证或者特区护照。</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）申请人为台湾地区居民的，应提供：</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台湾地区居民身份证或其他在台湾地区居住的有效身份证明。</w:t>
            </w:r>
          </w:p>
          <w:p w:rsidR="00D05289" w:rsidRDefault="001326C8">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申请人获得继承财产的证明文件。申请人拟继承财产转移在等值</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Pr="001326C8" w:rsidRDefault="001326C8">
            <w:pPr>
              <w:rPr>
                <w:rFonts w:ascii="Times New Roman" w:eastAsia="仿宋_GB2312" w:hAnsi="Times New Roman" w:cs="Times New Roman"/>
                <w:sz w:val="24"/>
                <w:szCs w:val="24"/>
                <w:highlight w:val="lightGray"/>
              </w:rPr>
            </w:pPr>
            <w:r>
              <w:rPr>
                <w:rFonts w:ascii="Times New Roman" w:eastAsia="仿宋_GB2312" w:hAnsi="Times New Roman" w:cs="Times New Roman"/>
                <w:sz w:val="24"/>
                <w:szCs w:val="24"/>
              </w:rPr>
              <w:t>验原件，留存加盖签章的复印件</w:t>
            </w:r>
          </w:p>
        </w:tc>
      </w:tr>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被继承人财产</w:t>
            </w:r>
            <w:r>
              <w:rPr>
                <w:rFonts w:ascii="Times New Roman" w:eastAsia="仿宋_GB2312" w:hAnsi="Times New Roman" w:cs="Times New Roman"/>
                <w:sz w:val="24"/>
                <w:szCs w:val="24"/>
              </w:rPr>
              <w:lastRenderedPageBreak/>
              <w:t>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原件及加盖签</w:t>
            </w:r>
            <w:r>
              <w:rPr>
                <w:rFonts w:ascii="Times New Roman" w:eastAsia="仿宋_GB2312" w:hAnsi="Times New Roman" w:cs="Times New Roman"/>
                <w:sz w:val="24"/>
                <w:szCs w:val="24"/>
              </w:rPr>
              <w:lastRenderedPageBreak/>
              <w:t>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rPr>
              <w:t>被继承人财产权利证明文件，包括但不限于房屋产权</w:t>
            </w:r>
            <w:r>
              <w:rPr>
                <w:rFonts w:ascii="Times New Roman" w:eastAsia="仿宋_GB2312" w:hAnsi="Times New Roman" w:cs="Times New Roman"/>
                <w:sz w:val="24"/>
              </w:rPr>
              <w:lastRenderedPageBreak/>
              <w:t>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Default="001326C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验原件，留存加盖</w:t>
            </w:r>
            <w:r>
              <w:rPr>
                <w:rFonts w:ascii="Times New Roman" w:eastAsia="仿宋_GB2312" w:hAnsi="Times New Roman" w:cs="Times New Roman"/>
                <w:sz w:val="24"/>
                <w:szCs w:val="24"/>
              </w:rPr>
              <w:lastRenderedPageBreak/>
              <w:t>签章的复印件</w:t>
            </w:r>
          </w:p>
        </w:tc>
      </w:tr>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rPr>
              <w:t>主管税务部门出具的税务证明</w:t>
            </w:r>
            <w:r>
              <w:rPr>
                <w:rFonts w:ascii="Times New Roman" w:eastAsia="仿宋_GB2312" w:hAnsi="Times New Roman" w:cs="Times New Roman" w:hint="eastAsia"/>
                <w:sz w:val="24"/>
              </w:rPr>
              <w:t>文件</w:t>
            </w:r>
            <w:r>
              <w:rPr>
                <w:rFonts w:ascii="Times New Roman" w:eastAsia="仿宋_GB2312" w:hAnsi="Times New Roman" w:cs="Times New Roman"/>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Default="001326C8">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D05289">
        <w:tc>
          <w:tcPr>
            <w:tcW w:w="534"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05289" w:rsidRDefault="001326C8">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D05289" w:rsidRDefault="001326C8">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D05289" w:rsidRDefault="001326C8">
            <w:pPr>
              <w:jc w:val="left"/>
              <w:rPr>
                <w:rFonts w:ascii="Times New Roman" w:hAnsi="Times New Roman" w:cs="Times New Roman"/>
              </w:rPr>
            </w:pPr>
            <w:r>
              <w:rPr>
                <w:rFonts w:ascii="Times New Roman" w:eastAsia="仿宋_GB2312" w:hAnsi="Times New Roman" w:cs="Times New Roman"/>
                <w:sz w:val="24"/>
                <w:szCs w:val="24"/>
              </w:rPr>
              <w:t>验原件，留存加盖签章的复印件</w:t>
            </w:r>
          </w:p>
        </w:tc>
      </w:tr>
    </w:tbl>
    <w:p w:rsidR="00D05289" w:rsidRDefault="00D05289">
      <w:pPr>
        <w:adjustRightInd w:val="0"/>
        <w:snapToGrid w:val="0"/>
        <w:spacing w:line="360" w:lineRule="auto"/>
        <w:ind w:firstLineChars="200" w:firstLine="600"/>
        <w:rPr>
          <w:rFonts w:ascii="Times New Roman" w:eastAsia="黑体" w:hAnsi="Times New Roman" w:cs="Times New Roman"/>
          <w:sz w:val="30"/>
          <w:szCs w:val="30"/>
        </w:rPr>
      </w:pP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D05289" w:rsidRDefault="001326C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申请人可通过被继承人生前户籍所在地外汇局业务窗口提交材料。</w:t>
      </w: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D05289" w:rsidRDefault="001326C8">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D05289" w:rsidRDefault="001326C8">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05289" w:rsidRDefault="001326C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D05289" w:rsidRDefault="001326C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D05289" w:rsidRDefault="001326C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D05289" w:rsidRDefault="001326C8">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D05289" w:rsidRDefault="001326C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D05289" w:rsidRDefault="001326C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D05289" w:rsidRDefault="001326C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D05289" w:rsidRDefault="001326C8">
      <w:pPr>
        <w:numPr>
          <w:ilvl w:val="0"/>
          <w:numId w:val="1"/>
        </w:numPr>
        <w:adjustRightInd w:val="0"/>
        <w:snapToGrid w:val="0"/>
        <w:spacing w:line="360" w:lineRule="auto"/>
        <w:ind w:firstLine="585"/>
        <w:rPr>
          <w:rFonts w:ascii="Times New Roman" w:eastAsia="黑体" w:hAnsi="Times New Roman" w:cs="Times New Roman"/>
          <w:sz w:val="30"/>
        </w:rPr>
      </w:pPr>
      <w:r>
        <w:rPr>
          <w:rFonts w:ascii="Times New Roman" w:eastAsia="黑体" w:hAnsi="Times New Roman" w:cs="Times New Roman"/>
          <w:sz w:val="30"/>
        </w:rPr>
        <w:t>审批收费依据及标准</w:t>
      </w:r>
    </w:p>
    <w:p w:rsidR="00D05289" w:rsidRDefault="001326C8">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D05289" w:rsidRDefault="001326C8">
      <w:pPr>
        <w:numPr>
          <w:ilvl w:val="0"/>
          <w:numId w:val="2"/>
        </w:num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审批结果</w:t>
      </w:r>
    </w:p>
    <w:p w:rsidR="00D05289" w:rsidRDefault="001326C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D05289" w:rsidRDefault="001326C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D05289" w:rsidRDefault="001326C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D05289" w:rsidRDefault="001326C8">
      <w:pPr>
        <w:numPr>
          <w:ilvl w:val="0"/>
          <w:numId w:val="3"/>
        </w:num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申请人权利和义务</w:t>
      </w:r>
    </w:p>
    <w:p w:rsidR="00D05289" w:rsidRDefault="001326C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D05289" w:rsidRDefault="001326C8">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p>
    <w:p w:rsidR="00D05289" w:rsidRDefault="00BF25EA">
      <w:pPr>
        <w:adjustRightInd w:val="0"/>
        <w:snapToGrid w:val="0"/>
        <w:spacing w:line="360" w:lineRule="auto"/>
        <w:ind w:firstLine="600"/>
        <w:rPr>
          <w:rFonts w:ascii="Times New Roman" w:eastAsia="仿宋_GB2312" w:hAnsi="Times New Roman" w:cs="Times New Roman"/>
          <w:sz w:val="30"/>
        </w:rPr>
      </w:pPr>
      <w:bookmarkStart w:id="0" w:name="_GoBack"/>
      <w:bookmarkEnd w:id="0"/>
      <w:r w:rsidRPr="00BF25EA">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BF25EA">
        <w:rPr>
          <w:rFonts w:ascii="Times New Roman" w:eastAsia="仿宋_GB2312" w:hAnsi="Times New Roman" w:cs="Times New Roman" w:hint="eastAsia"/>
          <w:sz w:val="30"/>
          <w:szCs w:val="30"/>
        </w:rPr>
        <w:lastRenderedPageBreak/>
        <w:t>www.safe.gov.cn</w:t>
      </w:r>
      <w:r w:rsidRPr="00BF25EA">
        <w:rPr>
          <w:rFonts w:ascii="Times New Roman" w:eastAsia="仿宋_GB2312" w:hAnsi="Times New Roman" w:cs="Times New Roman" w:hint="eastAsia"/>
          <w:sz w:val="30"/>
          <w:szCs w:val="30"/>
        </w:rPr>
        <w:t>链接至江苏分局“业务指南”栏目进行，也可通过栏目中公布的电话进行。</w:t>
      </w: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D05289">
      <w:pPr>
        <w:ind w:right="300"/>
        <w:rPr>
          <w:rFonts w:ascii="Times New Roman" w:eastAsia="仿宋_GB2312" w:hAnsi="Times New Roman" w:cs="Times New Roman"/>
          <w:sz w:val="30"/>
          <w:szCs w:val="30"/>
        </w:rPr>
      </w:pPr>
    </w:p>
    <w:p w:rsidR="00D05289" w:rsidRDefault="001326C8">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D05289" w:rsidRDefault="001326C8">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D05289" w:rsidRDefault="001326C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D05289" w:rsidRDefault="001326C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1285" o:spid="_x0000_s1027" style="position:absolute;left:0;text-align:left;margin-left:1.25pt;margin-top:10.6pt;width:446.05pt;height:586.05pt;z-index:1" coordsize="8921,11721">
            <v:rect id="Rectangle 1286" o:spid="_x0000_s1028" style="position:absolute;left:2908;top:8319;width:2985;height:534" o:preferrelative="t">
              <v:stroke miterlimit="2"/>
              <v:textbox>
                <w:txbxContent>
                  <w:p w:rsidR="00D05289" w:rsidRDefault="001326C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287" o:spid="_x0000_s1029" type="#_x0000_t116" style="position:absolute;left:4420;top:10681;width:3675;height:1037" o:preferrelative="t">
              <v:stroke miterlimit="2"/>
              <v:textbox>
                <w:txbxContent>
                  <w:p w:rsidR="00D05289" w:rsidRDefault="001326C8">
                    <w:pPr>
                      <w:jc w:val="center"/>
                    </w:pPr>
                    <w:r>
                      <w:rPr>
                        <w:rFonts w:hint="eastAsia"/>
                      </w:rPr>
                      <w:t>依法作出不予许可决定，</w:t>
                    </w:r>
                  </w:p>
                  <w:p w:rsidR="00D05289" w:rsidRDefault="001326C8">
                    <w:pPr>
                      <w:jc w:val="center"/>
                    </w:pPr>
                    <w:r>
                      <w:rPr>
                        <w:rFonts w:hint="eastAsia"/>
                      </w:rPr>
                      <w:t>并送达</w:t>
                    </w:r>
                  </w:p>
                </w:txbxContent>
              </v:textbox>
            </v:shape>
            <v:shape id="AutoShape 1288" o:spid="_x0000_s1030" type="#_x0000_t116" style="position:absolute;left:695;top:10663;width:3461;height:1058" o:preferrelative="t">
              <v:stroke miterlimit="2"/>
              <v:textbox>
                <w:txbxContent>
                  <w:p w:rsidR="00D05289" w:rsidRDefault="001326C8">
                    <w:pPr>
                      <w:jc w:val="center"/>
                    </w:pPr>
                    <w:r>
                      <w:rPr>
                        <w:rFonts w:hint="eastAsia"/>
                      </w:rPr>
                      <w:t>依法予以许可，出具相关</w:t>
                    </w:r>
                  </w:p>
                  <w:p w:rsidR="00D05289" w:rsidRDefault="001326C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289" o:spid="_x0000_s1031" type="#_x0000_t32" style="position:absolute;left:4382;top:7693;width:1;height:626" o:connectortype="straight" o:preferrelative="t">
              <v:stroke endarrow="block" miterlimit="2"/>
            </v:shape>
            <v:shape id="AutoShape 1290" o:spid="_x0000_s1032" type="#_x0000_t32" style="position:absolute;left:6331;top:9568;width:17;height:1095" o:connectortype="straight" o:preferrelative="t">
              <v:stroke endarrow="block" miterlimit="2"/>
            </v:shape>
            <v:shape id="AutoShape 1291" o:spid="_x0000_s1033" type="#_x0000_t32" style="position:absolute;left:2358;top:9568;width:1;height:1035" o:connectortype="straight" o:preferrelative="t">
              <v:stroke endarrow="block" miterlimit="2"/>
            </v:shape>
            <v:shape id="AutoShape 1292" o:spid="_x0000_s1034" type="#_x0000_t32" style="position:absolute;left:4383;top:8853;width:1;height:715" o:connectortype="straight" o:preferrelative="t">
              <v:stroke miterlimit="2"/>
            </v:shape>
            <v:shape id="AutoShape 1293" o:spid="_x0000_s1035" type="#_x0000_t32" style="position:absolute;left:2359;top:9568;width:3972;height:0" o:connectortype="straight" o:preferrelative="t">
              <v:stroke miterlimit="2"/>
            </v:shape>
            <v:group id="Group 1294" o:spid="_x0000_s1036" style="position:absolute;width:8921;height:7693" coordsize="8921,7693">
              <v:shape id="AutoShape 1295" o:spid="_x0000_s1037" type="#_x0000_t32" style="position:absolute;left:5893;top:6566;width:0;height:608" o:connectortype="straight" o:preferrelative="t">
                <v:stroke endarrow="block" miterlimit="2"/>
              </v:shape>
              <v:group id="Group 1296"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7"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298" o:spid="_x0000_s1040" type="#_x0000_t202" style="position:absolute;left:7996;top:2297;width:754;height:2553" o:preferrelative="t" strokecolor="white">
                  <v:stroke miterlimit="2"/>
                  <v:textbox>
                    <w:txbxContent>
                      <w:p w:rsidR="00D05289" w:rsidRDefault="001326C8">
                        <w:pPr>
                          <w:jc w:val="center"/>
                        </w:pPr>
                        <w:r>
                          <w:rPr>
                            <w:rFonts w:hint="eastAsia"/>
                          </w:rPr>
                          <w:t>不能提供符合受理要求的</w:t>
                        </w:r>
                      </w:p>
                      <w:p w:rsidR="00D05289" w:rsidRDefault="001326C8">
                        <w:pPr>
                          <w:jc w:val="center"/>
                        </w:pPr>
                        <w:r>
                          <w:rPr>
                            <w:rFonts w:hint="eastAsia"/>
                          </w:rPr>
                          <w:t>材料</w:t>
                        </w:r>
                      </w:p>
                    </w:txbxContent>
                  </v:textbox>
                </v:shape>
                <v:shape id="AutoShape 1299" o:spid="_x0000_s1041" type="#_x0000_t32" style="position:absolute;left:5893;top:4472;width:0;height:378" o:connectortype="straight" o:preferrelative="t">
                  <v:stroke endarrow="block" miterlimit="2"/>
                </v:shape>
                <v:shape id="Text Box 1300" o:spid="_x0000_s1042" type="#_x0000_t202" style="position:absolute;left:2568;top:6566;width:2737;height:477" o:preferrelative="t" strokecolor="white">
                  <v:stroke miterlimit="2"/>
                  <v:textbox>
                    <w:txbxContent>
                      <w:p w:rsidR="00D05289" w:rsidRDefault="001326C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01" o:spid="_x0000_s1043" type="#_x0000_t4" style="position:absolute;left:4156;top:4833;width:3480;height:1733" o:preferrelative="t">
                  <v:stroke miterlimit="2"/>
                  <v:textbox>
                    <w:txbxContent>
                      <w:p w:rsidR="00D05289" w:rsidRDefault="00D05289">
                        <w:pPr>
                          <w:jc w:val="center"/>
                        </w:pPr>
                      </w:p>
                      <w:p w:rsidR="00D05289" w:rsidRDefault="001326C8">
                        <w:pPr>
                          <w:jc w:val="center"/>
                        </w:pPr>
                        <w:r>
                          <w:rPr>
                            <w:rFonts w:hint="eastAsia"/>
                          </w:rPr>
                          <w:t>申请人补充材料</w:t>
                        </w:r>
                      </w:p>
                    </w:txbxContent>
                  </v:textbox>
                </v:shape>
                <v:rect id="Rectangle 1302" o:spid="_x0000_s1044" style="position:absolute;left:2568;top:7174;width:4816;height:519" o:preferrelative="t">
                  <v:stroke miterlimit="2"/>
                  <v:textbox>
                    <w:txbxContent>
                      <w:p w:rsidR="00D05289" w:rsidRDefault="001326C8">
                        <w:pPr>
                          <w:jc w:val="center"/>
                        </w:pPr>
                        <w:r>
                          <w:rPr>
                            <w:rFonts w:hint="eastAsia"/>
                          </w:rPr>
                          <w:t>依法应予受理，出具行政审批受理单</w:t>
                        </w:r>
                      </w:p>
                      <w:p w:rsidR="00D05289" w:rsidRDefault="00D05289">
                        <w:pPr>
                          <w:jc w:val="center"/>
                        </w:pPr>
                      </w:p>
                    </w:txbxContent>
                  </v:textbox>
                </v:rect>
                <v:rect id="Rectangle 1303" o:spid="_x0000_s1045" style="position:absolute;left:4566;top:3341;width:3190;height:1114" o:preferrelative="t">
                  <v:stroke miterlimit="2"/>
                  <v:textbox>
                    <w:txbxContent>
                      <w:p w:rsidR="00D05289" w:rsidRDefault="001326C8">
                        <w:pPr>
                          <w:jc w:val="center"/>
                        </w:pPr>
                        <w:r>
                          <w:rPr>
                            <w:rFonts w:hint="eastAsia"/>
                          </w:rPr>
                          <w:t>材料不全或不符合法定形式的，</w:t>
                        </w:r>
                      </w:p>
                      <w:p w:rsidR="00D05289" w:rsidRDefault="001326C8">
                        <w:pPr>
                          <w:jc w:val="center"/>
                        </w:pPr>
                        <w:r>
                          <w:rPr>
                            <w:rFonts w:hint="eastAsia"/>
                          </w:rPr>
                          <w:t>一次性告知补正材料，</w:t>
                        </w:r>
                      </w:p>
                      <w:p w:rsidR="00D05289" w:rsidRDefault="001326C8">
                        <w:pPr>
                          <w:jc w:val="center"/>
                        </w:pPr>
                        <w:r>
                          <w:rPr>
                            <w:rFonts w:hint="eastAsia"/>
                          </w:rPr>
                          <w:t>出具行政审批补正材料通知书</w:t>
                        </w:r>
                      </w:p>
                      <w:p w:rsidR="00D05289" w:rsidRDefault="00D05289"/>
                    </w:txbxContent>
                  </v:textbox>
                </v:rect>
                <v:shape id="AutoShape 1304" o:spid="_x0000_s1046" type="#_x0000_t116" style="position:absolute;left:4566;top:1337;width:2818;height:1423" o:preferrelative="t">
                  <v:stroke miterlimit="2"/>
                  <v:textbox>
                    <w:txbxContent>
                      <w:p w:rsidR="00D05289" w:rsidRDefault="001326C8">
                        <w:pPr>
                          <w:jc w:val="center"/>
                        </w:pPr>
                        <w:r>
                          <w:rPr>
                            <w:rFonts w:hint="eastAsia"/>
                          </w:rPr>
                          <w:t>依法不予受理的，作出不予受理决定，出具不予受理行政审批申请通知书</w:t>
                        </w:r>
                      </w:p>
                      <w:p w:rsidR="00D05289" w:rsidRDefault="00D05289">
                        <w:pPr>
                          <w:jc w:val="center"/>
                        </w:pPr>
                      </w:p>
                    </w:txbxContent>
                  </v:textbox>
                </v:shape>
                <v:group id="Group 1305" o:spid="_x0000_s1047" style="position:absolute;width:4594;height:7424" coordsize="4594,7424">
                  <v:shape id="AutoShape 1306" o:spid="_x0000_s1048" type="#_x0000_t32" style="position:absolute;left:3663;top:3910;width:931;height:0" o:connectortype="straight" o:preferrelative="t">
                    <v:stroke endarrow="block" miterlimit="2"/>
                  </v:shape>
                  <v:shape id="AutoShape 1307" o:spid="_x0000_s1049" type="#_x0000_t32" style="position:absolute;left:1355;top:3986;width:1;height:3437" o:connectortype="straight" o:preferrelative="t">
                    <v:stroke miterlimit="2"/>
                  </v:shape>
                  <v:group id="Group 1308" o:spid="_x0000_s1050" style="position:absolute;width:3629;height:3986" coordsize="3629,3986">
                    <v:shape id="AutoShape 1309" o:spid="_x0000_s1051" type="#_x0000_t32" style="position:absolute;left:1396;top:1172;width:1;height:764" o:connectortype="straight" o:preferrelative="t">
                      <v:stroke endarrow="block" miterlimit="2"/>
                    </v:shape>
                    <v:shape id="AutoShape 1310" o:spid="_x0000_s1052" type="#_x0000_t32" style="position:absolute;left:2400;top:2967;width:1229;height:0" o:connectortype="straight" o:preferrelative="t">
                      <v:stroke miterlimit="2"/>
                    </v:shape>
                    <v:shape id="AutoShape 1311" o:spid="_x0000_s1053" type="#_x0000_t4" style="position:absolute;top:1936;width:2773;height:2050" o:preferrelative="t">
                      <v:stroke miterlimit="2"/>
                      <v:textbox>
                        <w:txbxContent>
                          <w:p w:rsidR="00D05289" w:rsidRDefault="001326C8">
                            <w:r>
                              <w:rPr>
                                <w:rFonts w:hint="eastAsia"/>
                              </w:rPr>
                              <w:t>接件（</w:t>
                            </w:r>
                            <w:r>
                              <w:t>5</w:t>
                            </w:r>
                            <w:r>
                              <w:rPr>
                                <w:rFonts w:hint="eastAsia"/>
                              </w:rPr>
                              <w:t>个工作日）作出是否受理决定</w:t>
                            </w:r>
                          </w:p>
                          <w:p w:rsidR="00D05289" w:rsidRDefault="00D05289"/>
                        </w:txbxContent>
                      </v:textbox>
                    </v:shape>
                    <v:shape id="AutoShape 1312" o:spid="_x0000_s1054" type="#_x0000_t116" style="position:absolute;left:184;width:2724;height:1172" o:preferrelative="t">
                      <v:stroke miterlimit="2"/>
                      <v:textbox>
                        <w:txbxContent>
                          <w:p w:rsidR="00D05289" w:rsidRDefault="001326C8">
                            <w:pPr>
                              <w:jc w:val="center"/>
                            </w:pPr>
                            <w:r>
                              <w:rPr>
                                <w:rFonts w:hint="eastAsia"/>
                              </w:rPr>
                              <w:t>申请人提出书面申请，并提交材料</w:t>
                            </w:r>
                          </w:p>
                        </w:txbxContent>
                      </v:textbox>
                    </v:shape>
                  </v:group>
                  <v:shape id="AutoShape 1313" o:spid="_x0000_s1055" type="#_x0000_t32" style="position:absolute;left:1355;top:7423;width:1213;height:1" o:connectortype="straight" o:preferrelative="t">
                    <v:stroke endarrow="block" miterlimit="2"/>
                  </v:shape>
                  <v:shape id="AutoShape 1314" o:spid="_x0000_s1056" type="#_x0000_t32" style="position:absolute;left:3663;top:1999;width:0;height:1921" o:connectortype="straight" o:preferrelative="t">
                    <v:stroke miterlimit="2"/>
                  </v:shape>
                  <v:shape id="AutoShape 1315" o:spid="_x0000_s1057" type="#_x0000_t32" style="position:absolute;left:3663;top:1989;width:903;height:1" o:connectortype="straight" o:preferrelative="t">
                    <v:stroke endarrow="block" miterlimit="2"/>
                  </v:shape>
                  <v:shape id="Text Box 1316" o:spid="_x0000_s1058" type="#_x0000_t202" style="position:absolute;left:597;top:5280;width:508;height:1152" o:preferrelative="t" strokecolor="white">
                    <v:stroke miterlimit="2"/>
                    <v:textbox>
                      <w:txbxContent>
                        <w:p w:rsidR="00D05289" w:rsidRDefault="001326C8">
                          <w:r>
                            <w:rPr>
                              <w:rFonts w:hint="eastAsia"/>
                            </w:rPr>
                            <w:t>是</w:t>
                          </w:r>
                        </w:p>
                      </w:txbxContent>
                    </v:textbox>
                  </v:shape>
                  <v:shape id="Text Box 1317" o:spid="_x0000_s1059" type="#_x0000_t202" style="position:absolute;left:2799;top:2220;width:508;height:471" o:preferrelative="t" strokecolor="white">
                    <v:stroke miterlimit="2"/>
                    <v:textbox style="mso-fit-shape-to-text:t">
                      <w:txbxContent>
                        <w:p w:rsidR="00D05289" w:rsidRDefault="001326C8">
                          <w:r>
                            <w:rPr>
                              <w:rFonts w:hint="eastAsia"/>
                            </w:rPr>
                            <w:t>否</w:t>
                          </w:r>
                        </w:p>
                      </w:txbxContent>
                    </v:textbox>
                  </v:shape>
                </v:group>
                <v:shape id="AutoShape 1318" o:spid="_x0000_s1060" type="#_x0000_t32" style="position:absolute;left:7384;top:1886;width:1537;height:0;flip:x" o:connectortype="straight" o:preferrelative="t">
                  <v:stroke endarrow="block" miterlimit="2"/>
                </v:shape>
              </v:group>
            </v:group>
          </v:group>
        </w:pict>
      </w: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center"/>
        <w:rPr>
          <w:rFonts w:ascii="Times New Roman" w:eastAsia="仿宋_GB2312" w:hAnsi="Times New Roman" w:cs="Times New Roman"/>
          <w:sz w:val="30"/>
          <w:szCs w:val="30"/>
        </w:rPr>
      </w:pPr>
    </w:p>
    <w:p w:rsidR="00D05289" w:rsidRDefault="00D05289">
      <w:pPr>
        <w:ind w:right="300"/>
        <w:jc w:val="left"/>
        <w:rPr>
          <w:rFonts w:ascii="Times New Roman" w:eastAsia="仿宋_GB2312" w:hAnsi="Times New Roman" w:cs="Times New Roman"/>
          <w:sz w:val="30"/>
          <w:szCs w:val="30"/>
        </w:rPr>
      </w:pPr>
    </w:p>
    <w:p w:rsidR="00D05289" w:rsidRDefault="001326C8">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D05289" w:rsidRDefault="00D05289">
      <w:pPr>
        <w:ind w:firstLine="420"/>
        <w:rPr>
          <w:rFonts w:ascii="Times New Roman" w:hAnsi="Times New Roman" w:cs="Times New Roman"/>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ind w:firstLineChars="200" w:firstLine="600"/>
        <w:rPr>
          <w:rFonts w:ascii="Times New Roman" w:eastAsia="仿宋_GB2312" w:hAnsi="Times New Roman" w:cs="Times New Roman"/>
          <w:sz w:val="30"/>
          <w:szCs w:val="30"/>
        </w:rPr>
      </w:pPr>
    </w:p>
    <w:p w:rsidR="00D05289" w:rsidRDefault="00D05289">
      <w:pPr>
        <w:widowControl/>
        <w:spacing w:line="384" w:lineRule="auto"/>
        <w:jc w:val="left"/>
        <w:rPr>
          <w:rFonts w:ascii="Times New Roman" w:eastAsia="仿宋_GB2312" w:hAnsi="Times New Roman" w:cs="Times New Roman"/>
          <w:kern w:val="0"/>
          <w:sz w:val="30"/>
          <w:szCs w:val="30"/>
        </w:rPr>
      </w:pPr>
    </w:p>
    <w:p w:rsidR="00D05289" w:rsidRDefault="00D05289">
      <w:pPr>
        <w:widowControl/>
        <w:spacing w:line="384" w:lineRule="auto"/>
        <w:jc w:val="left"/>
        <w:rPr>
          <w:rFonts w:ascii="Times New Roman" w:eastAsia="仿宋_GB2312" w:hAnsi="Times New Roman" w:cs="Times New Roman"/>
          <w:kern w:val="0"/>
          <w:sz w:val="30"/>
          <w:szCs w:val="30"/>
        </w:rPr>
      </w:pPr>
    </w:p>
    <w:p w:rsidR="00D05289" w:rsidRDefault="00D05289">
      <w:pPr>
        <w:widowControl/>
        <w:spacing w:line="384" w:lineRule="auto"/>
        <w:jc w:val="left"/>
        <w:rPr>
          <w:rFonts w:ascii="Times New Roman" w:eastAsia="仿宋_GB2312" w:hAnsi="Times New Roman" w:cs="Times New Roman"/>
          <w:kern w:val="0"/>
          <w:sz w:val="30"/>
          <w:szCs w:val="30"/>
        </w:rPr>
      </w:pPr>
    </w:p>
    <w:p w:rsidR="00D05289" w:rsidRDefault="00D05289">
      <w:pPr>
        <w:widowControl/>
        <w:spacing w:line="384" w:lineRule="auto"/>
        <w:jc w:val="left"/>
        <w:rPr>
          <w:rFonts w:ascii="Times New Roman" w:eastAsia="仿宋_GB2312" w:hAnsi="Times New Roman" w:cs="Times New Roman"/>
          <w:kern w:val="0"/>
          <w:sz w:val="30"/>
          <w:szCs w:val="30"/>
        </w:rPr>
      </w:pPr>
    </w:p>
    <w:p w:rsidR="00D05289" w:rsidRDefault="001326C8">
      <w:pPr>
        <w:widowControl/>
        <w:spacing w:line="384" w:lineRule="auto"/>
        <w:jc w:val="left"/>
        <w:rPr>
          <w:rFonts w:ascii="Times New Roman" w:hAnsi="Times New Roman" w:cs="Times New Roman"/>
          <w:bCs/>
          <w:sz w:val="28"/>
          <w:szCs w:val="28"/>
        </w:rPr>
      </w:pPr>
      <w:r>
        <w:rPr>
          <w:rFonts w:ascii="Times New Roman" w:eastAsia="仿宋_GB2312" w:hAnsi="Times New Roman" w:cs="Times New Roman"/>
          <w:kern w:val="0"/>
          <w:sz w:val="30"/>
          <w:szCs w:val="30"/>
        </w:rPr>
        <w:lastRenderedPageBreak/>
        <w:t>附录二</w:t>
      </w:r>
    </w:p>
    <w:p w:rsidR="00D05289" w:rsidRDefault="001326C8">
      <w:pPr>
        <w:widowControl/>
        <w:spacing w:line="384" w:lineRule="auto"/>
        <w:jc w:val="center"/>
        <w:rPr>
          <w:rFonts w:ascii="Times New Roman" w:eastAsia="黑体" w:hAnsi="Times New Roman" w:cs="Times New Roman"/>
          <w:bCs/>
          <w:sz w:val="30"/>
          <w:szCs w:val="30"/>
        </w:rPr>
      </w:pPr>
      <w:r>
        <w:rPr>
          <w:rFonts w:ascii="Times New Roman" w:eastAsia="黑体" w:hAnsi="黑体" w:cs="Times New Roman"/>
          <w:bCs/>
          <w:sz w:val="30"/>
          <w:szCs w:val="30"/>
        </w:rPr>
        <w:t>个人财产转移业务申请表（示范文本）</w:t>
      </w:r>
    </w:p>
    <w:p w:rsidR="00D05289" w:rsidRDefault="001326C8">
      <w:pPr>
        <w:spacing w:line="360" w:lineRule="auto"/>
        <w:ind w:right="480" w:firstLineChars="1850" w:firstLine="4440"/>
        <w:rPr>
          <w:rFonts w:ascii="Times New Roman" w:hAnsi="Times New Roman" w:cs="Times New Roman"/>
          <w:sz w:val="24"/>
        </w:rPr>
      </w:pPr>
      <w:r>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2"/>
        <w:gridCol w:w="756"/>
        <w:gridCol w:w="315"/>
        <w:gridCol w:w="1575"/>
        <w:gridCol w:w="735"/>
        <w:gridCol w:w="1728"/>
        <w:gridCol w:w="2157"/>
      </w:tblGrid>
      <w:tr w:rsidR="00D05289">
        <w:trPr>
          <w:cantSplit/>
          <w:trHeight w:val="716"/>
        </w:trPr>
        <w:tc>
          <w:tcPr>
            <w:tcW w:w="2313" w:type="dxa"/>
            <w:gridSpan w:val="3"/>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rsidR="00D05289" w:rsidRDefault="00D05289">
            <w:pPr>
              <w:snapToGrid w:val="0"/>
              <w:jc w:val="left"/>
              <w:rPr>
                <w:rFonts w:ascii="Times New Roman" w:hAnsi="Times New Roman" w:cs="Times New Roman"/>
                <w:spacing w:val="-9"/>
                <w:szCs w:val="21"/>
              </w:rPr>
            </w:pPr>
          </w:p>
        </w:tc>
        <w:tc>
          <w:tcPr>
            <w:tcW w:w="2310" w:type="dxa"/>
            <w:gridSpan w:val="2"/>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hAnsi="Times New Roman" w:cs="Times New Roman" w:hint="eastAsia"/>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rsidR="00D05289" w:rsidRDefault="00D05289">
            <w:pPr>
              <w:snapToGrid w:val="0"/>
              <w:jc w:val="center"/>
              <w:rPr>
                <w:rFonts w:ascii="Times New Roman" w:hAnsi="Times New Roman" w:cs="Times New Roman"/>
                <w:spacing w:val="-9"/>
                <w:szCs w:val="21"/>
              </w:rPr>
            </w:pPr>
          </w:p>
          <w:p w:rsidR="00D05289" w:rsidRDefault="001326C8">
            <w:pPr>
              <w:snapToGrid w:val="0"/>
              <w:jc w:val="center"/>
              <w:rPr>
                <w:rFonts w:ascii="Times New Roman" w:hAnsi="Times New Roman" w:cs="Times New Roman"/>
                <w:spacing w:val="-9"/>
                <w:szCs w:val="21"/>
              </w:rPr>
            </w:pPr>
            <w:r>
              <w:rPr>
                <w:rFonts w:ascii="Times New Roman" w:cs="Times New Roman"/>
                <w:spacing w:val="-9"/>
                <w:szCs w:val="21"/>
              </w:rPr>
              <w:t>照片</w:t>
            </w:r>
          </w:p>
          <w:p w:rsidR="00D05289" w:rsidRDefault="001326C8">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rsidR="00D05289">
        <w:trPr>
          <w:cantSplit/>
        </w:trPr>
        <w:tc>
          <w:tcPr>
            <w:tcW w:w="6351" w:type="dxa"/>
            <w:gridSpan w:val="6"/>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tcPr>
          <w:p w:rsidR="00D05289" w:rsidRDefault="00D05289">
            <w:pPr>
              <w:snapToGrid w:val="0"/>
              <w:jc w:val="center"/>
              <w:rPr>
                <w:rFonts w:ascii="Times New Roman" w:hAnsi="Times New Roman" w:cs="Times New Roman"/>
                <w:spacing w:val="-9"/>
                <w:szCs w:val="21"/>
              </w:rPr>
            </w:pPr>
          </w:p>
        </w:tc>
      </w:tr>
      <w:tr w:rsidR="00D05289">
        <w:trPr>
          <w:cantSplit/>
        </w:trPr>
        <w:tc>
          <w:tcPr>
            <w:tcW w:w="3888" w:type="dxa"/>
            <w:gridSpan w:val="4"/>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tcPr>
          <w:p w:rsidR="00D05289" w:rsidRDefault="00D05289">
            <w:pPr>
              <w:snapToGrid w:val="0"/>
              <w:jc w:val="center"/>
              <w:rPr>
                <w:rFonts w:ascii="Times New Roman" w:hAnsi="Times New Roman" w:cs="Times New Roman"/>
                <w:spacing w:val="-9"/>
                <w:szCs w:val="21"/>
              </w:rPr>
            </w:pPr>
          </w:p>
        </w:tc>
      </w:tr>
      <w:tr w:rsidR="00D05289">
        <w:trPr>
          <w:trHeight w:val="303"/>
        </w:trPr>
        <w:tc>
          <w:tcPr>
            <w:tcW w:w="1998" w:type="dxa"/>
            <w:gridSpan w:val="2"/>
            <w:tcBorders>
              <w:bottom w:val="nil"/>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rsidR="00D05289">
        <w:trPr>
          <w:trHeight w:val="303"/>
        </w:trPr>
        <w:tc>
          <w:tcPr>
            <w:tcW w:w="8508" w:type="dxa"/>
            <w:gridSpan w:val="7"/>
            <w:tcBorders>
              <w:bottom w:val="nil"/>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rsidR="00D05289">
        <w:trPr>
          <w:trHeight w:val="405"/>
        </w:trPr>
        <w:tc>
          <w:tcPr>
            <w:tcW w:w="8508" w:type="dxa"/>
            <w:gridSpan w:val="7"/>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rsidR="00D05289">
        <w:trPr>
          <w:trHeight w:val="465"/>
        </w:trPr>
        <w:tc>
          <w:tcPr>
            <w:tcW w:w="8508" w:type="dxa"/>
            <w:gridSpan w:val="7"/>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rsidR="00D05289">
        <w:trPr>
          <w:trHeight w:val="1606"/>
        </w:trPr>
        <w:tc>
          <w:tcPr>
            <w:tcW w:w="8508" w:type="dxa"/>
            <w:gridSpan w:val="7"/>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rsidR="00D05289">
        <w:trPr>
          <w:cantSplit/>
          <w:trHeight w:val="820"/>
        </w:trPr>
        <w:tc>
          <w:tcPr>
            <w:tcW w:w="1242" w:type="dxa"/>
            <w:vMerge w:val="restart"/>
            <w:vAlign w:val="center"/>
          </w:tcPr>
          <w:p w:rsidR="00D05289" w:rsidRDefault="001326C8">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rsidR="00D05289" w:rsidRDefault="00D05289">
            <w:pPr>
              <w:snapToGrid w:val="0"/>
              <w:jc w:val="left"/>
              <w:rPr>
                <w:rFonts w:ascii="Times New Roman" w:hAnsi="Times New Roman" w:cs="Times New Roman"/>
                <w:spacing w:val="-9"/>
                <w:szCs w:val="21"/>
              </w:rPr>
            </w:pPr>
          </w:p>
        </w:tc>
      </w:tr>
      <w:tr w:rsidR="00D05289">
        <w:trPr>
          <w:cantSplit/>
          <w:trHeight w:val="345"/>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rsidR="00D05289">
        <w:trPr>
          <w:cantSplit/>
          <w:trHeight w:val="309"/>
        </w:trPr>
        <w:tc>
          <w:tcPr>
            <w:tcW w:w="1242" w:type="dxa"/>
            <w:vMerge/>
            <w:tcBorders>
              <w:bottom w:val="single" w:sz="4" w:space="0" w:color="auto"/>
            </w:tcBorders>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rsidR="00D05289">
        <w:trPr>
          <w:cantSplit/>
          <w:trHeight w:val="908"/>
        </w:trPr>
        <w:tc>
          <w:tcPr>
            <w:tcW w:w="1242" w:type="dxa"/>
            <w:vMerge/>
            <w:tcBorders>
              <w:bottom w:val="single" w:sz="4" w:space="0" w:color="auto"/>
            </w:tcBorders>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rsidR="00D05289" w:rsidRDefault="00D05289">
            <w:pPr>
              <w:snapToGrid w:val="0"/>
              <w:jc w:val="left"/>
              <w:rPr>
                <w:rFonts w:ascii="Times New Roman" w:hAnsi="Times New Roman" w:cs="Times New Roman"/>
                <w:spacing w:val="-9"/>
                <w:szCs w:val="21"/>
              </w:rPr>
            </w:pPr>
          </w:p>
        </w:tc>
      </w:tr>
      <w:tr w:rsidR="00D05289">
        <w:trPr>
          <w:cantSplit/>
          <w:trHeight w:val="665"/>
        </w:trPr>
        <w:tc>
          <w:tcPr>
            <w:tcW w:w="1242" w:type="dxa"/>
            <w:vMerge w:val="restart"/>
            <w:vAlign w:val="center"/>
          </w:tcPr>
          <w:p w:rsidR="00D05289" w:rsidRDefault="001326C8">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rsidR="00D05289">
        <w:trPr>
          <w:cantSplit/>
          <w:trHeight w:val="688"/>
        </w:trPr>
        <w:tc>
          <w:tcPr>
            <w:tcW w:w="1242" w:type="dxa"/>
            <w:vMerge/>
            <w:vAlign w:val="center"/>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rsidR="00D05289">
        <w:trPr>
          <w:cantSplit/>
          <w:trHeight w:val="712"/>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rsidR="00D05289">
        <w:trPr>
          <w:cantSplit/>
          <w:trHeight w:val="694"/>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rsidR="00D05289">
        <w:trPr>
          <w:cantSplit/>
          <w:trHeight w:val="704"/>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rsidR="00D05289">
        <w:trPr>
          <w:cantSplit/>
          <w:trHeight w:val="632"/>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rsidR="00D05289">
        <w:trPr>
          <w:cantSplit/>
          <w:trHeight w:val="624"/>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rsidR="00D05289">
        <w:trPr>
          <w:cantSplit/>
          <w:trHeight w:val="644"/>
        </w:trPr>
        <w:tc>
          <w:tcPr>
            <w:tcW w:w="1242" w:type="dxa"/>
            <w:vMerge/>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rsidR="00D05289">
        <w:trPr>
          <w:cantSplit/>
          <w:trHeight w:val="756"/>
        </w:trPr>
        <w:tc>
          <w:tcPr>
            <w:tcW w:w="1242" w:type="dxa"/>
            <w:vMerge/>
            <w:tcBorders>
              <w:bottom w:val="single" w:sz="4" w:space="0" w:color="auto"/>
            </w:tcBorders>
          </w:tcPr>
          <w:p w:rsidR="00D05289" w:rsidRDefault="00D05289">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D05289" w:rsidRDefault="001326C8">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rsidR="00D05289">
        <w:trPr>
          <w:trHeight w:val="270"/>
        </w:trPr>
        <w:tc>
          <w:tcPr>
            <w:tcW w:w="8508" w:type="dxa"/>
            <w:gridSpan w:val="7"/>
          </w:tcPr>
          <w:p w:rsidR="00D05289" w:rsidRDefault="001326C8">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D05289" w:rsidRDefault="001326C8">
            <w:pPr>
              <w:snapToGrid w:val="0"/>
              <w:ind w:firstLineChars="200" w:firstLine="42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rsidR="00D05289" w:rsidRDefault="00D05289">
            <w:pPr>
              <w:snapToGrid w:val="0"/>
              <w:ind w:firstLineChars="150" w:firstLine="288"/>
              <w:jc w:val="center"/>
              <w:rPr>
                <w:rFonts w:ascii="Times New Roman" w:hAnsi="Times New Roman" w:cs="Times New Roman"/>
                <w:spacing w:val="-9"/>
                <w:szCs w:val="21"/>
              </w:rPr>
            </w:pPr>
          </w:p>
          <w:p w:rsidR="00D05289" w:rsidRDefault="001326C8">
            <w:pPr>
              <w:snapToGrid w:val="0"/>
              <w:ind w:firstLineChars="150" w:firstLine="288"/>
              <w:jc w:val="center"/>
              <w:rPr>
                <w:rFonts w:ascii="Times New Roman" w:hAnsi="Times New Roman" w:cs="Times New Roman"/>
                <w:spacing w:val="-9"/>
                <w:szCs w:val="21"/>
              </w:rPr>
            </w:pPr>
            <w:r>
              <w:rPr>
                <w:rFonts w:ascii="Times New Roman" w:hAnsi="Times New Roman" w:cs="Times New Roman"/>
                <w:spacing w:val="-9"/>
                <w:szCs w:val="21"/>
              </w:rPr>
              <w:t xml:space="preserve"> </w:t>
            </w:r>
          </w:p>
          <w:p w:rsidR="00D05289" w:rsidRDefault="001326C8">
            <w:pPr>
              <w:snapToGrid w:val="0"/>
              <w:jc w:val="left"/>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rsidR="00D05289" w:rsidRDefault="00D05289">
            <w:pPr>
              <w:snapToGrid w:val="0"/>
              <w:jc w:val="left"/>
              <w:rPr>
                <w:rFonts w:ascii="Times New Roman" w:hAnsi="Times New Roman" w:cs="Times New Roman"/>
                <w:spacing w:val="-9"/>
                <w:szCs w:val="21"/>
              </w:rPr>
            </w:pPr>
          </w:p>
        </w:tc>
      </w:tr>
    </w:tbl>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D05289">
      <w:pPr>
        <w:adjustRightInd w:val="0"/>
        <w:snapToGrid w:val="0"/>
        <w:spacing w:line="360" w:lineRule="auto"/>
        <w:rPr>
          <w:rFonts w:ascii="Times New Roman" w:eastAsia="仿宋_GB2312" w:hAnsi="Times New Roman" w:cs="Times New Roman"/>
          <w:sz w:val="30"/>
          <w:szCs w:val="30"/>
        </w:rPr>
      </w:pPr>
    </w:p>
    <w:p w:rsidR="00D05289" w:rsidRDefault="001326C8">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D05289" w:rsidRDefault="00D05289">
      <w:pPr>
        <w:adjustRightInd w:val="0"/>
        <w:snapToGrid w:val="0"/>
        <w:spacing w:line="360" w:lineRule="auto"/>
        <w:jc w:val="center"/>
        <w:rPr>
          <w:rFonts w:ascii="Times New Roman" w:eastAsia="黑体" w:hAnsi="Times New Roman" w:cs="Times New Roman"/>
          <w:sz w:val="30"/>
          <w:szCs w:val="30"/>
        </w:rPr>
      </w:pPr>
    </w:p>
    <w:p w:rsidR="00D05289" w:rsidRDefault="001326C8">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错误示例</w:t>
      </w:r>
    </w:p>
    <w:p w:rsidR="00D05289" w:rsidRDefault="00D05289">
      <w:pPr>
        <w:adjustRightInd w:val="0"/>
        <w:snapToGrid w:val="0"/>
        <w:spacing w:line="360" w:lineRule="auto"/>
        <w:jc w:val="center"/>
        <w:rPr>
          <w:rFonts w:ascii="Times New Roman" w:eastAsia="黑体" w:hAnsi="Times New Roman" w:cs="Times New Roman"/>
          <w:sz w:val="30"/>
          <w:szCs w:val="30"/>
        </w:rPr>
      </w:pPr>
    </w:p>
    <w:p w:rsidR="00D05289" w:rsidRDefault="001326C8">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D05289" w:rsidRDefault="001326C8">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D05289" w:rsidRDefault="001326C8">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申请人在填写《个人财产转移业务申请表》时，申请金额错填为税前金额，实际应填写扣除已纳税后的净额，而不是纳税前金额。</w:t>
      </w:r>
    </w:p>
    <w:p w:rsidR="00D05289" w:rsidRDefault="00D05289">
      <w:pPr>
        <w:adjustRightInd w:val="0"/>
        <w:snapToGrid w:val="0"/>
        <w:spacing w:line="360" w:lineRule="auto"/>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D05289">
      <w:pPr>
        <w:ind w:firstLineChars="200" w:firstLine="600"/>
        <w:rPr>
          <w:rFonts w:ascii="Times New Roman" w:eastAsia="黑体" w:hAnsi="Times New Roman" w:cs="Times New Roman"/>
          <w:sz w:val="30"/>
          <w:szCs w:val="30"/>
        </w:rPr>
      </w:pPr>
    </w:p>
    <w:p w:rsidR="00D05289" w:rsidRDefault="001326C8">
      <w:pPr>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D05289" w:rsidRDefault="00D05289">
      <w:pPr>
        <w:jc w:val="center"/>
        <w:rPr>
          <w:rFonts w:ascii="Times New Roman" w:eastAsia="黑体" w:hAnsi="Times New Roman" w:cs="Times New Roman"/>
          <w:sz w:val="30"/>
          <w:szCs w:val="30"/>
        </w:rPr>
      </w:pPr>
    </w:p>
    <w:p w:rsidR="00D05289" w:rsidRDefault="001326C8">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D05289" w:rsidRDefault="00D05289">
      <w:pPr>
        <w:jc w:val="center"/>
        <w:rPr>
          <w:rFonts w:ascii="Times New Roman" w:eastAsia="黑体" w:hAnsi="Times New Roman" w:cs="Times New Roman"/>
          <w:sz w:val="30"/>
          <w:szCs w:val="30"/>
        </w:rPr>
      </w:pPr>
    </w:p>
    <w:p w:rsidR="00D05289" w:rsidRDefault="001326C8">
      <w:pPr>
        <w:pStyle w:val="10"/>
        <w:ind w:firstLineChars="196" w:firstLine="58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问：申请人办理继承财产转移时，如无法提供中国驻外使领馆认证的申请人在国外定居证明，可否以外国驻中国境内使领馆开具的</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定居证明</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公证书等材料代替？</w:t>
      </w:r>
    </w:p>
    <w:p w:rsidR="00D05289" w:rsidRDefault="001326C8">
      <w:pPr>
        <w:pStyle w:val="10"/>
        <w:ind w:firstLine="600"/>
        <w:rPr>
          <w:rFonts w:ascii="Times New Roman" w:eastAsia="黑体" w:hAnsi="Times New Roman" w:cs="Times New Roman"/>
          <w:sz w:val="48"/>
          <w:szCs w:val="48"/>
        </w:rPr>
      </w:pPr>
      <w:r>
        <w:rPr>
          <w:rFonts w:ascii="Times New Roman" w:eastAsia="仿宋_GB2312" w:hAnsi="Times New Roman" w:cs="Times New Roman"/>
          <w:kern w:val="0"/>
          <w:sz w:val="30"/>
          <w:szCs w:val="30"/>
        </w:rPr>
        <w:t>答：办理财产转移时，申请人为外国公民的，应提供中国驻外使领馆认证的申请人在国外定居证明。如果因不可抗力等特殊客观原因无法提供的，提交说明文件及其他定居证明材料，外汇局视具体情况作出决定。</w:t>
      </w:r>
    </w:p>
    <w:sectPr w:rsidR="00D0528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C8" w:rsidRDefault="001326C8">
      <w:r>
        <w:separator/>
      </w:r>
    </w:p>
  </w:endnote>
  <w:endnote w:type="continuationSeparator" w:id="0">
    <w:p w:rsidR="001326C8" w:rsidRDefault="0013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89" w:rsidRDefault="001326C8">
    <w:pPr>
      <w:pStyle w:val="a6"/>
      <w:jc w:val="center"/>
    </w:pPr>
    <w:r>
      <w:fldChar w:fldCharType="begin"/>
    </w:r>
    <w:r>
      <w:instrText xml:space="preserve"> PAGE   \* MERGEFORMAT </w:instrText>
    </w:r>
    <w:r>
      <w:fldChar w:fldCharType="separate"/>
    </w:r>
    <w:r w:rsidR="00BF25EA" w:rsidRPr="00BF25EA">
      <w:rPr>
        <w:noProof/>
        <w:lang w:val="zh-CN"/>
      </w:rPr>
      <w:t>1</w:t>
    </w:r>
    <w:r>
      <w:rPr>
        <w:lang w:val="zh-CN"/>
      </w:rPr>
      <w:fldChar w:fldCharType="end"/>
    </w:r>
  </w:p>
  <w:p w:rsidR="00D05289" w:rsidRDefault="00D052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89" w:rsidRDefault="001326C8">
    <w:pPr>
      <w:pStyle w:val="a6"/>
      <w:jc w:val="center"/>
    </w:pPr>
    <w:r>
      <w:fldChar w:fldCharType="begin"/>
    </w:r>
    <w:r>
      <w:instrText xml:space="preserve"> PAGE   \* MERGEFORMAT </w:instrText>
    </w:r>
    <w:r>
      <w:fldChar w:fldCharType="separate"/>
    </w:r>
    <w:r w:rsidR="00BF25EA" w:rsidRPr="00BF25EA">
      <w:rPr>
        <w:noProof/>
        <w:lang w:val="zh-CN"/>
      </w:rPr>
      <w:t>6</w:t>
    </w:r>
    <w:r>
      <w:rPr>
        <w:lang w:val="zh-CN"/>
      </w:rPr>
      <w:fldChar w:fldCharType="end"/>
    </w:r>
  </w:p>
  <w:p w:rsidR="00D05289" w:rsidRDefault="00D05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C8" w:rsidRDefault="001326C8">
      <w:r>
        <w:separator/>
      </w:r>
    </w:p>
  </w:footnote>
  <w:footnote w:type="continuationSeparator" w:id="0">
    <w:p w:rsidR="001326C8" w:rsidRDefault="0013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1B4"/>
    <w:multiLevelType w:val="singleLevel"/>
    <w:tmpl w:val="5A1101B4"/>
    <w:lvl w:ilvl="0">
      <w:start w:val="11"/>
      <w:numFmt w:val="chineseCounting"/>
      <w:suff w:val="nothing"/>
      <w:lvlText w:val="（%1）"/>
      <w:lvlJc w:val="left"/>
    </w:lvl>
  </w:abstractNum>
  <w:abstractNum w:abstractNumId="1">
    <w:nsid w:val="5A1101D6"/>
    <w:multiLevelType w:val="singleLevel"/>
    <w:tmpl w:val="5A1101D6"/>
    <w:lvl w:ilvl="0">
      <w:start w:val="12"/>
      <w:numFmt w:val="chineseCounting"/>
      <w:suff w:val="nothing"/>
      <w:lvlText w:val="（%1）"/>
      <w:lvlJc w:val="left"/>
    </w:lvl>
  </w:abstractNum>
  <w:abstractNum w:abstractNumId="2">
    <w:nsid w:val="5A11020C"/>
    <w:multiLevelType w:val="singleLevel"/>
    <w:tmpl w:val="5A11020C"/>
    <w:lvl w:ilvl="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26C8"/>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25EA"/>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05289"/>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0B1D3ACB"/>
    <w:rsid w:val="38D2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289"/>
        <o:r id="V:Rule2" type="connector" idref="#AutoShape 1291"/>
        <o:r id="V:Rule3" type="connector" idref="#AutoShape 1290"/>
        <o:r id="V:Rule4" type="connector" idref="#AutoShape 1297"/>
        <o:r id="V:Rule5" type="connector" idref="#AutoShape 1295"/>
        <o:r id="V:Rule6" type="connector" idref="#AutoShape 1292"/>
        <o:r id="V:Rule7" type="connector" idref="#AutoShape 1293"/>
        <o:r id="V:Rule8" type="connector" idref="#AutoShape 1307"/>
        <o:r id="V:Rule9" type="connector" idref="#AutoShape 1309"/>
        <o:r id="V:Rule10" type="connector" idref="#AutoShape 1313"/>
        <o:r id="V:Rule11" type="connector" idref="#AutoShape 1310"/>
        <o:r id="V:Rule12" type="connector" idref="#AutoShape 1299"/>
        <o:r id="V:Rule13" type="connector" idref="#AutoShape 1318"/>
        <o:r id="V:Rule14" type="connector" idref="#AutoShape 1306"/>
        <o:r id="V:Rule15" type="connector" idref="#AutoShape 1314"/>
        <o:r id="V:Rule16" type="connector" idref="#AutoShape 1315"/>
      </o:rules>
    </o:shapelayout>
  </w:shapeDefaults>
  <w:decimalSymbol w:val="."/>
  <w:listSeparator w:val=","/>
  <w15:docId w15:val="{3188A71D-080E-42FE-983F-76D93AF9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裴建君2</dc:creator>
  <cp:lastModifiedBy>孟田</cp:lastModifiedBy>
  <cp:revision>1</cp:revision>
  <cp:lastPrinted>2020-07-02T09:02:00Z</cp:lastPrinted>
  <dcterms:created xsi:type="dcterms:W3CDTF">2020-03-18T03:45:00Z</dcterms:created>
  <dcterms:modified xsi:type="dcterms:W3CDTF">2021-02-04T06:59:00Z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