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A3" w:rsidRDefault="00BC6F62">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DE58A3" w:rsidRDefault="00DE58A3">
      <w:pPr>
        <w:ind w:right="300"/>
        <w:jc w:val="center"/>
        <w:rPr>
          <w:rFonts w:ascii="Times New Roman" w:eastAsia="黑体" w:hAnsi="Times New Roman" w:cs="Times New Roman"/>
          <w:sz w:val="30"/>
          <w:szCs w:val="30"/>
        </w:rPr>
      </w:pPr>
    </w:p>
    <w:p w:rsidR="00DE58A3" w:rsidRDefault="00DE58A3">
      <w:pPr>
        <w:ind w:right="300"/>
        <w:jc w:val="center"/>
        <w:rPr>
          <w:rFonts w:ascii="Times New Roman" w:eastAsia="黑体" w:hAnsi="Times New Roman" w:cs="Times New Roman"/>
          <w:sz w:val="30"/>
          <w:szCs w:val="30"/>
        </w:rPr>
      </w:pPr>
    </w:p>
    <w:p w:rsidR="00DE58A3" w:rsidRDefault="00DE58A3">
      <w:pPr>
        <w:ind w:right="300"/>
        <w:jc w:val="center"/>
        <w:rPr>
          <w:rFonts w:ascii="Times New Roman" w:eastAsia="黑体" w:hAnsi="Times New Roman" w:cs="Times New Roman"/>
          <w:sz w:val="30"/>
          <w:szCs w:val="30"/>
        </w:rPr>
      </w:pPr>
    </w:p>
    <w:p w:rsidR="00DE58A3" w:rsidRDefault="00DE58A3">
      <w:pPr>
        <w:ind w:right="300"/>
        <w:jc w:val="center"/>
        <w:rPr>
          <w:rFonts w:ascii="Times New Roman" w:eastAsia="黑体" w:hAnsi="Times New Roman" w:cs="Times New Roman"/>
          <w:sz w:val="52"/>
          <w:szCs w:val="52"/>
        </w:rPr>
      </w:pPr>
    </w:p>
    <w:p w:rsidR="00DE58A3" w:rsidRDefault="00BC6F6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p>
    <w:p w:rsidR="00DE58A3" w:rsidRDefault="00BC6F6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DE58A3" w:rsidRDefault="00DE58A3">
      <w:pPr>
        <w:ind w:right="300"/>
        <w:jc w:val="center"/>
        <w:rPr>
          <w:rFonts w:ascii="Times New Roman" w:eastAsia="仿宋_GB2312" w:hAnsi="Times New Roman" w:cs="Times New Roman"/>
          <w:sz w:val="30"/>
          <w:szCs w:val="30"/>
        </w:rPr>
      </w:pPr>
    </w:p>
    <w:p w:rsidR="00DE58A3" w:rsidRDefault="00DE58A3">
      <w:pPr>
        <w:ind w:right="300"/>
        <w:jc w:val="center"/>
        <w:rPr>
          <w:rFonts w:ascii="Times New Roman" w:eastAsia="仿宋_GB2312" w:hAnsi="Times New Roman" w:cs="Times New Roman"/>
          <w:sz w:val="30"/>
          <w:szCs w:val="30"/>
        </w:rPr>
      </w:pPr>
    </w:p>
    <w:p w:rsidR="00DE58A3" w:rsidRDefault="00DE58A3">
      <w:pPr>
        <w:ind w:right="300"/>
        <w:jc w:val="center"/>
        <w:rPr>
          <w:rFonts w:ascii="Times New Roman" w:eastAsia="仿宋_GB2312" w:hAnsi="Times New Roman" w:cs="Times New Roman"/>
          <w:sz w:val="30"/>
          <w:szCs w:val="30"/>
        </w:rPr>
      </w:pPr>
    </w:p>
    <w:p w:rsidR="00DE58A3" w:rsidRDefault="00DE58A3">
      <w:pPr>
        <w:ind w:right="300"/>
        <w:jc w:val="center"/>
        <w:rPr>
          <w:rFonts w:ascii="Times New Roman" w:eastAsia="仿宋_GB2312" w:hAnsi="Times New Roman" w:cs="Times New Roman"/>
          <w:sz w:val="30"/>
          <w:szCs w:val="30"/>
        </w:rPr>
      </w:pPr>
    </w:p>
    <w:p w:rsidR="00DE58A3" w:rsidRDefault="00DE58A3">
      <w:pPr>
        <w:ind w:right="300"/>
        <w:jc w:val="center"/>
        <w:rPr>
          <w:rFonts w:ascii="Times New Roman" w:eastAsia="仿宋_GB2312" w:hAnsi="Times New Roman" w:cs="Times New Roman"/>
          <w:sz w:val="30"/>
          <w:szCs w:val="30"/>
        </w:rPr>
      </w:pPr>
    </w:p>
    <w:p w:rsidR="00DE58A3" w:rsidRDefault="00DE58A3">
      <w:pPr>
        <w:ind w:right="300"/>
        <w:jc w:val="center"/>
        <w:rPr>
          <w:rFonts w:ascii="Times New Roman" w:eastAsia="仿宋_GB2312" w:hAnsi="Times New Roman" w:cs="Times New Roman"/>
          <w:sz w:val="30"/>
          <w:szCs w:val="30"/>
        </w:rPr>
      </w:pPr>
    </w:p>
    <w:p w:rsidR="00DE58A3" w:rsidRDefault="00BC6F6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E58A3" w:rsidRDefault="00BC6F6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E58A3" w:rsidRDefault="00BC6F6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DE58A3" w:rsidRDefault="00DE58A3">
      <w:pPr>
        <w:ind w:right="300"/>
        <w:rPr>
          <w:rFonts w:ascii="Times New Roman" w:eastAsia="仿宋_GB2312" w:hAnsi="Times New Roman" w:cs="Times New Roman"/>
          <w:sz w:val="30"/>
          <w:szCs w:val="30"/>
        </w:rPr>
      </w:pPr>
    </w:p>
    <w:p w:rsidR="00DE58A3" w:rsidRDefault="00DE58A3">
      <w:pPr>
        <w:widowControl/>
        <w:jc w:val="left"/>
        <w:rPr>
          <w:rFonts w:ascii="Times New Roman" w:eastAsia="仿宋_GB2312" w:hAnsi="Times New Roman" w:cs="Times New Roman"/>
          <w:sz w:val="30"/>
          <w:szCs w:val="30"/>
        </w:rPr>
        <w:sectPr w:rsidR="00DE58A3">
          <w:footerReference w:type="default" r:id="rId8"/>
          <w:pgSz w:w="11906" w:h="16838"/>
          <w:pgMar w:top="1440" w:right="1800" w:bottom="1440" w:left="1800" w:header="851" w:footer="992" w:gutter="0"/>
          <w:cols w:space="720"/>
          <w:titlePg/>
          <w:docGrid w:type="lines" w:linePitch="312"/>
        </w:sectPr>
      </w:pP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DE58A3" w:rsidRDefault="00BC6F6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E58A3" w:rsidRDefault="00BC6F62">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w:t>
      </w:r>
      <w:proofErr w:type="gramStart"/>
      <w:r>
        <w:rPr>
          <w:rFonts w:ascii="Times New Roman" w:eastAsia="仿宋_GB2312" w:hAnsi="Times New Roman" w:cs="Times New Roman"/>
          <w:sz w:val="30"/>
          <w:szCs w:val="30"/>
        </w:rPr>
        <w:t>作出</w:t>
      </w:r>
      <w:proofErr w:type="gramEnd"/>
      <w:r>
        <w:rPr>
          <w:rFonts w:ascii="Times New Roman" w:eastAsia="仿宋_GB2312" w:hAnsi="Times New Roman" w:cs="Times New Roman"/>
          <w:sz w:val="30"/>
          <w:szCs w:val="30"/>
        </w:rPr>
        <w:t>批准或者不批准的决定；国家规定其经营范</w:t>
      </w:r>
      <w:r>
        <w:rPr>
          <w:rFonts w:ascii="Times New Roman" w:eastAsia="仿宋_GB2312" w:hAnsi="Times New Roman" w:cs="Times New Roman"/>
          <w:sz w:val="30"/>
          <w:szCs w:val="30"/>
        </w:rPr>
        <w:t>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E58A3" w:rsidRDefault="00BC6F6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四、融资租赁对外债权登记</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E58A3" w:rsidRDefault="00BC6F6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《国家外汇管理局关于进一步改进和调整资本项目外汇管理政策的通知》（</w:t>
      </w:r>
      <w:proofErr w:type="gramStart"/>
      <w:r>
        <w:rPr>
          <w:rFonts w:ascii="Times New Roman" w:eastAsia="仿宋_GB2312" w:hAnsi="Times New Roman" w:cs="Times New Roman"/>
          <w:sz w:val="30"/>
          <w:szCs w:val="30"/>
        </w:rPr>
        <w:t>汇发</w:t>
      </w:r>
      <w:proofErr w:type="gramEnd"/>
      <w:r>
        <w:rPr>
          <w:rFonts w:ascii="Times New Roman" w:eastAsia="仿宋_GB2312" w:hAnsi="Times New Roman" w:cs="Times New Roman"/>
          <w:sz w:val="30"/>
          <w:szCs w:val="30"/>
        </w:rPr>
        <w:t>[2014]2</w:t>
      </w:r>
      <w:r>
        <w:rPr>
          <w:rFonts w:ascii="Times New Roman" w:eastAsia="仿宋_GB2312" w:hAnsi="Times New Roman" w:cs="Times New Roman"/>
          <w:sz w:val="30"/>
          <w:szCs w:val="30"/>
        </w:rPr>
        <w:t>号）。</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黑体" w:hAnsi="Times New Roman" w:cs="Times New Roman" w:hint="eastAsia"/>
          <w:sz w:val="30"/>
          <w:szCs w:val="30"/>
        </w:rPr>
        <w:t xml:space="preserve"> </w:t>
      </w:r>
      <w:r>
        <w:rPr>
          <w:rFonts w:ascii="Times New Roman" w:eastAsia="黑体" w:hAnsi="Times New Roman" w:cs="Times New Roman"/>
          <w:sz w:val="30"/>
          <w:szCs w:val="30"/>
        </w:rPr>
        <w:t>（二）受理机构</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 xml:space="preserve">    </w:t>
      </w:r>
      <w:r>
        <w:rPr>
          <w:rFonts w:ascii="Times New Roman" w:eastAsia="仿宋_GB2312" w:hAnsi="Times New Roman" w:cs="Times New Roman"/>
          <w:sz w:val="30"/>
          <w:szCs w:val="30"/>
        </w:rPr>
        <w:t>申请人所在地外汇局。</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（四）审批数量</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proofErr w:type="gramStart"/>
      <w:r>
        <w:rPr>
          <w:rFonts w:ascii="Times New Roman" w:eastAsia="仿宋_GB2312" w:hAnsi="Times New Roman" w:cs="Times New Roman"/>
          <w:sz w:val="30"/>
          <w:szCs w:val="30"/>
        </w:rPr>
        <w:t>无数量</w:t>
      </w:r>
      <w:proofErr w:type="gramEnd"/>
      <w:r>
        <w:rPr>
          <w:rFonts w:ascii="Times New Roman" w:eastAsia="仿宋_GB2312" w:hAnsi="Times New Roman" w:cs="Times New Roman"/>
          <w:sz w:val="30"/>
          <w:szCs w:val="30"/>
        </w:rPr>
        <w:t>限制。</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融资租赁类公司或其项目公司开展对外融资租赁业务时，应在融资租赁对外债权发生后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个工作日内，到所在地外汇局办理融资租赁对外债权登记。</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3.</w:t>
      </w:r>
      <w:r>
        <w:rPr>
          <w:rFonts w:ascii="Times New Roman" w:eastAsia="仿宋_GB2312" w:hAnsi="Times New Roman" w:cs="Times New Roman"/>
          <w:sz w:val="30"/>
          <w:szCs w:val="30"/>
        </w:rPr>
        <w:t>禁止性要求：如符合上述条件，不存在不予许可的情况。</w:t>
      </w:r>
    </w:p>
    <w:p w:rsidR="00DE58A3" w:rsidRDefault="00BC6F62">
      <w:pPr>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544"/>
        <w:gridCol w:w="1417"/>
        <w:gridCol w:w="425"/>
        <w:gridCol w:w="993"/>
        <w:gridCol w:w="425"/>
        <w:gridCol w:w="1277"/>
      </w:tblGrid>
      <w:tr w:rsidR="00DE58A3">
        <w:tc>
          <w:tcPr>
            <w:tcW w:w="392" w:type="dxa"/>
            <w:vAlign w:val="center"/>
          </w:tcPr>
          <w:p w:rsidR="00DE58A3" w:rsidRDefault="00BC6F62">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DE58A3" w:rsidRDefault="00BC6F62">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DE58A3" w:rsidRDefault="00BC6F62">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DE58A3" w:rsidRDefault="00BC6F62">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DE58A3" w:rsidRDefault="00BC6F62">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DE58A3" w:rsidRDefault="00BC6F62">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DE58A3" w:rsidRDefault="00BC6F62">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DE58A3" w:rsidRDefault="00BC6F62">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DE58A3" w:rsidRDefault="00BC6F62">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E58A3">
        <w:tc>
          <w:tcPr>
            <w:tcW w:w="392" w:type="dxa"/>
            <w:vAlign w:val="center"/>
          </w:tcPr>
          <w:p w:rsidR="00DE58A3" w:rsidRDefault="00BC6F62">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DE58A3" w:rsidRDefault="00BC6F62">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DE58A3" w:rsidRDefault="00BC6F62">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DE58A3" w:rsidRDefault="00BC6F62">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DE58A3" w:rsidRDefault="00BC6F62">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DE58A3" w:rsidRDefault="00DE58A3">
            <w:pPr>
              <w:ind w:right="300"/>
              <w:jc w:val="left"/>
              <w:rPr>
                <w:rFonts w:ascii="Times New Roman" w:eastAsia="仿宋_GB2312" w:hAnsi="Times New Roman" w:cs="Times New Roman"/>
                <w:sz w:val="24"/>
                <w:szCs w:val="24"/>
              </w:rPr>
            </w:pPr>
          </w:p>
        </w:tc>
        <w:tc>
          <w:tcPr>
            <w:tcW w:w="1277" w:type="dxa"/>
            <w:vAlign w:val="center"/>
          </w:tcPr>
          <w:p w:rsidR="00DE58A3" w:rsidRDefault="00DE58A3">
            <w:pPr>
              <w:ind w:leftChars="-51" w:left="-107" w:right="-115"/>
              <w:jc w:val="left"/>
              <w:rPr>
                <w:rFonts w:ascii="Times New Roman" w:eastAsia="仿宋_GB2312" w:hAnsi="Times New Roman" w:cs="Times New Roman"/>
                <w:sz w:val="24"/>
                <w:szCs w:val="24"/>
              </w:rPr>
            </w:pPr>
          </w:p>
        </w:tc>
      </w:tr>
      <w:tr w:rsidR="00DE58A3">
        <w:tc>
          <w:tcPr>
            <w:tcW w:w="392" w:type="dxa"/>
            <w:vAlign w:val="center"/>
          </w:tcPr>
          <w:p w:rsidR="00DE58A3" w:rsidRDefault="00BC6F62">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DE58A3" w:rsidRDefault="00BC6F62">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DE58A3" w:rsidRDefault="00BC6F62">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DE58A3" w:rsidRDefault="00BC6F62">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DE58A3" w:rsidRDefault="00BC6F62">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DE58A3" w:rsidRDefault="00DE58A3">
            <w:pPr>
              <w:ind w:right="300"/>
              <w:jc w:val="left"/>
              <w:rPr>
                <w:rFonts w:ascii="Times New Roman" w:eastAsia="仿宋_GB2312" w:hAnsi="Times New Roman" w:cs="Times New Roman"/>
                <w:sz w:val="24"/>
                <w:szCs w:val="24"/>
              </w:rPr>
            </w:pPr>
          </w:p>
        </w:tc>
        <w:tc>
          <w:tcPr>
            <w:tcW w:w="1277" w:type="dxa"/>
            <w:vAlign w:val="center"/>
          </w:tcPr>
          <w:p w:rsidR="00DE58A3" w:rsidRDefault="00BC6F62">
            <w:pPr>
              <w:ind w:left="1"/>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r w:rsidR="00DE58A3">
        <w:trPr>
          <w:trHeight w:val="1124"/>
        </w:trPr>
        <w:tc>
          <w:tcPr>
            <w:tcW w:w="392" w:type="dxa"/>
            <w:vAlign w:val="center"/>
          </w:tcPr>
          <w:p w:rsidR="00DE58A3" w:rsidRDefault="00BC6F62">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4" w:type="dxa"/>
            <w:vAlign w:val="center"/>
          </w:tcPr>
          <w:p w:rsidR="00DE58A3" w:rsidRDefault="00BC6F62">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w:t>
            </w:r>
            <w:proofErr w:type="gramStart"/>
            <w:r>
              <w:rPr>
                <w:rFonts w:ascii="Times New Roman" w:eastAsia="仿宋_GB2312" w:hAnsi="Times New Roman" w:cs="Times New Roman"/>
                <w:sz w:val="24"/>
                <w:szCs w:val="24"/>
              </w:rPr>
              <w:t>物转移</w:t>
            </w:r>
            <w:proofErr w:type="gramEnd"/>
            <w:r>
              <w:rPr>
                <w:rFonts w:ascii="Times New Roman" w:eastAsia="仿宋_GB2312" w:hAnsi="Times New Roman" w:cs="Times New Roman"/>
                <w:sz w:val="24"/>
                <w:szCs w:val="24"/>
              </w:rPr>
              <w:t>的证明材料（如报关单、备案清单、发票等）</w:t>
            </w:r>
          </w:p>
        </w:tc>
        <w:tc>
          <w:tcPr>
            <w:tcW w:w="1417" w:type="dxa"/>
            <w:vAlign w:val="center"/>
          </w:tcPr>
          <w:p w:rsidR="00DE58A3" w:rsidRDefault="00BC6F62">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DE58A3" w:rsidRDefault="00BC6F62">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DE58A3" w:rsidRDefault="00BC6F62">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DE58A3" w:rsidRDefault="00DE58A3">
            <w:pPr>
              <w:ind w:right="300"/>
              <w:jc w:val="left"/>
              <w:rPr>
                <w:rFonts w:ascii="Times New Roman" w:eastAsia="仿宋_GB2312" w:hAnsi="Times New Roman" w:cs="Times New Roman"/>
                <w:sz w:val="24"/>
                <w:szCs w:val="24"/>
              </w:rPr>
            </w:pPr>
          </w:p>
        </w:tc>
        <w:tc>
          <w:tcPr>
            <w:tcW w:w="1277" w:type="dxa"/>
            <w:vAlign w:val="center"/>
          </w:tcPr>
          <w:p w:rsidR="00DE58A3" w:rsidRDefault="00BC6F62">
            <w:pPr>
              <w:ind w:left="1"/>
              <w:jc w:val="left"/>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验</w:t>
            </w:r>
            <w:proofErr w:type="gramEnd"/>
            <w:r>
              <w:rPr>
                <w:rFonts w:ascii="Times New Roman" w:eastAsia="仿宋_GB2312" w:hAnsi="Times New Roman" w:cs="Times New Roman"/>
                <w:sz w:val="24"/>
                <w:szCs w:val="24"/>
              </w:rPr>
              <w:t>原件，留存加盖公章的复印件</w:t>
            </w:r>
          </w:p>
        </w:tc>
      </w:tr>
    </w:tbl>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（七）申请接受</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（八）基本办理流程</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E58A3" w:rsidRDefault="00BC6F62">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E58A3" w:rsidRDefault="00BC6F62">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（十）审批时限</w:t>
      </w:r>
    </w:p>
    <w:p w:rsidR="00DE58A3" w:rsidRDefault="00BC6F6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（十一）审批收费依据及标准</w:t>
      </w:r>
    </w:p>
    <w:p w:rsidR="00DE58A3" w:rsidRDefault="00BC6F6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DE58A3" w:rsidRDefault="00BC6F62">
      <w:pPr>
        <w:adjustRightInd w:val="0"/>
        <w:snapToGrid w:val="0"/>
        <w:spacing w:line="360" w:lineRule="auto"/>
        <w:ind w:firstLine="590"/>
        <w:rPr>
          <w:rFonts w:ascii="Times New Roman" w:eastAsia="黑体" w:hAnsi="Times New Roman" w:cs="Times New Roman"/>
          <w:sz w:val="30"/>
          <w:szCs w:val="30"/>
        </w:rPr>
      </w:pPr>
      <w:r>
        <w:rPr>
          <w:rFonts w:ascii="Times New Roman" w:eastAsia="黑体" w:hAnsi="黑体" w:cs="Times New Roman"/>
          <w:sz w:val="30"/>
          <w:szCs w:val="30"/>
        </w:rPr>
        <w:t>（十二）审批</w:t>
      </w:r>
      <w:r>
        <w:rPr>
          <w:rFonts w:ascii="Times New Roman" w:eastAsia="黑体" w:hAnsi="黑体" w:cs="Times New Roman"/>
          <w:sz w:val="30"/>
          <w:szCs w:val="30"/>
        </w:rPr>
        <w:t>结果</w:t>
      </w:r>
    </w:p>
    <w:p w:rsidR="00DE58A3" w:rsidRDefault="00BC6F62">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（十三）结果送达</w:t>
      </w:r>
    </w:p>
    <w:p w:rsidR="00DE58A3" w:rsidRDefault="00BC6F6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DE58A3" w:rsidRDefault="00BC6F62">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（十四）申请人权利和义务</w:t>
      </w:r>
    </w:p>
    <w:p w:rsidR="00DE58A3" w:rsidRDefault="00BC6F62">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w:t>
      </w:r>
      <w:r>
        <w:rPr>
          <w:rFonts w:ascii="Times New Roman" w:eastAsia="仿宋_GB2312" w:hAnsi="Times New Roman" w:cs="Times New Roman"/>
          <w:sz w:val="30"/>
        </w:rPr>
        <w:lastRenderedPageBreak/>
        <w:t>复议、诉讼等。申请人有义务保证申请材料完整、真实、准确，获批后合法合</w:t>
      </w:r>
      <w:proofErr w:type="gramStart"/>
      <w:r>
        <w:rPr>
          <w:rFonts w:ascii="Times New Roman" w:eastAsia="仿宋_GB2312" w:hAnsi="Times New Roman" w:cs="Times New Roman"/>
          <w:sz w:val="30"/>
        </w:rPr>
        <w:t>规</w:t>
      </w:r>
      <w:proofErr w:type="gramEnd"/>
      <w:r>
        <w:rPr>
          <w:rFonts w:ascii="Times New Roman" w:eastAsia="仿宋_GB2312" w:hAnsi="Times New Roman" w:cs="Times New Roman"/>
          <w:sz w:val="30"/>
        </w:rPr>
        <w:t>办理相关业务，重要信息发生变更按规定及时报备，全面、及时、准确报送相关数据信息等。</w:t>
      </w:r>
    </w:p>
    <w:p w:rsidR="00DE58A3" w:rsidRDefault="00BC6F6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w:t>
      </w:r>
    </w:p>
    <w:p w:rsidR="00DE58A3" w:rsidRDefault="00C061EE">
      <w:pPr>
        <w:adjustRightInd w:val="0"/>
        <w:snapToGrid w:val="0"/>
        <w:spacing w:line="360" w:lineRule="auto"/>
        <w:ind w:firstLine="600"/>
        <w:rPr>
          <w:rFonts w:ascii="Times New Roman" w:hAnsi="Times New Roman" w:cs="Times New Roman"/>
          <w:b/>
          <w:sz w:val="24"/>
          <w:szCs w:val="24"/>
        </w:rPr>
      </w:pPr>
      <w:bookmarkStart w:id="0" w:name="_GoBack"/>
      <w:bookmarkEnd w:id="0"/>
      <w:r w:rsidRPr="00C061EE">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C061EE">
        <w:rPr>
          <w:rFonts w:ascii="Times New Roman" w:eastAsia="仿宋_GB2312" w:hAnsi="Times New Roman" w:cs="Times New Roman" w:hint="eastAsia"/>
          <w:sz w:val="30"/>
          <w:szCs w:val="30"/>
        </w:rPr>
        <w:t>www.safe.gov.cn</w:t>
      </w:r>
      <w:r w:rsidRPr="00C061EE">
        <w:rPr>
          <w:rFonts w:ascii="Times New Roman" w:eastAsia="仿宋_GB2312" w:hAnsi="Times New Roman" w:cs="Times New Roman" w:hint="eastAsia"/>
          <w:sz w:val="30"/>
          <w:szCs w:val="30"/>
        </w:rPr>
        <w:t>链接至江苏分局“业务指南”栏目进行，也可通过栏目中公布的电话进行。</w:t>
      </w:r>
    </w:p>
    <w:p w:rsidR="00DE58A3" w:rsidRDefault="00BC6F62">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DE58A3" w:rsidRDefault="00BC6F62">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DE58A3" w:rsidRDefault="00BC6F62">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115" o:spid="_x0000_s1027" style="position:absolute;left:0;text-align:left;margin-left:-11.65pt;margin-top:15.1pt;width:446.05pt;height:586.05pt;z-index:1" coordsize="8921,11721">
            <v:rect id="Rectangle 1116" o:spid="_x0000_s1028" style="position:absolute;left:2908;top:8319;width:2985;height:534" o:preferrelative="t">
              <v:stroke miterlimit="2"/>
              <v:textbox>
                <w:txbxContent>
                  <w:p w:rsidR="00DE58A3" w:rsidRDefault="00BC6F62">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17" o:spid="_x0000_s1029" type="#_x0000_t116" style="position:absolute;left:4420;top:10681;width:3675;height:1037" o:preferrelative="t">
              <v:stroke miterlimit="2"/>
              <v:textbox>
                <w:txbxContent>
                  <w:p w:rsidR="00DE58A3" w:rsidRDefault="00BC6F62">
                    <w:pPr>
                      <w:jc w:val="center"/>
                    </w:pPr>
                    <w:r>
                      <w:rPr>
                        <w:rFonts w:hint="eastAsia"/>
                      </w:rPr>
                      <w:t>依法</w:t>
                    </w:r>
                    <w:proofErr w:type="gramStart"/>
                    <w:r>
                      <w:rPr>
                        <w:rFonts w:hint="eastAsia"/>
                      </w:rPr>
                      <w:t>作出</w:t>
                    </w:r>
                    <w:proofErr w:type="gramEnd"/>
                    <w:r>
                      <w:rPr>
                        <w:rFonts w:hint="eastAsia"/>
                      </w:rPr>
                      <w:t>不予许可决定，</w:t>
                    </w:r>
                  </w:p>
                  <w:p w:rsidR="00DE58A3" w:rsidRDefault="00BC6F62">
                    <w:pPr>
                      <w:jc w:val="center"/>
                    </w:pPr>
                    <w:r>
                      <w:rPr>
                        <w:rFonts w:hint="eastAsia"/>
                      </w:rPr>
                      <w:t>并送达</w:t>
                    </w:r>
                  </w:p>
                </w:txbxContent>
              </v:textbox>
            </v:shape>
            <v:shape id="AutoShape 1118" o:spid="_x0000_s1030" type="#_x0000_t116" style="position:absolute;left:695;top:10663;width:3461;height:1058" o:preferrelative="t">
              <v:stroke miterlimit="2"/>
              <v:textbox>
                <w:txbxContent>
                  <w:p w:rsidR="00DE58A3" w:rsidRDefault="00BC6F62">
                    <w:pPr>
                      <w:jc w:val="center"/>
                    </w:pPr>
                    <w:r>
                      <w:rPr>
                        <w:rFonts w:hint="eastAsia"/>
                      </w:rPr>
                      <w:t>依法予以许可，出具相关</w:t>
                    </w:r>
                  </w:p>
                  <w:p w:rsidR="00DE58A3" w:rsidRDefault="00BC6F6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19" o:spid="_x0000_s1031" type="#_x0000_t32" style="position:absolute;left:4382;top:7693;width:1;height:626" o:connectortype="straight" o:preferrelative="t">
              <v:stroke endarrow="block" miterlimit="2"/>
            </v:shape>
            <v:shape id="AutoShape 1120" o:spid="_x0000_s1032" type="#_x0000_t32" style="position:absolute;left:6331;top:9568;width:17;height:1095" o:connectortype="straight" o:preferrelative="t">
              <v:stroke endarrow="block" miterlimit="2"/>
            </v:shape>
            <v:shape id="AutoShape 1121" o:spid="_x0000_s1033" type="#_x0000_t32" style="position:absolute;left:2358;top:9568;width:1;height:1035" o:connectortype="straight" o:preferrelative="t">
              <v:stroke endarrow="block" miterlimit="2"/>
            </v:shape>
            <v:shape id="AutoShape 1122" o:spid="_x0000_s1034" type="#_x0000_t32" style="position:absolute;left:4383;top:8853;width:1;height:715" o:connectortype="straight" o:preferrelative="t">
              <v:stroke miterlimit="2"/>
            </v:shape>
            <v:shape id="AutoShape 1123" o:spid="_x0000_s1035" type="#_x0000_t32" style="position:absolute;left:2359;top:9568;width:3972;height:0" o:connectortype="straight" o:preferrelative="t">
              <v:stroke miterlimit="2"/>
            </v:shape>
            <v:group id="Group 1124" o:spid="_x0000_s1036" style="position:absolute;width:8921;height:7693" coordsize="8921,7693">
              <v:shape id="AutoShape 1125" o:spid="_x0000_s1037" type="#_x0000_t32" style="position:absolute;left:5893;top:6566;width:0;height:608" o:connectortype="straight" o:preferrelative="t">
                <v:stroke endarrow="block" miterlimit="2"/>
              </v:shape>
              <v:group id="Group 1126"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7"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128" o:spid="_x0000_s1040" type="#_x0000_t202" style="position:absolute;left:7996;top:2297;width:754;height:2553" o:preferrelative="t" strokecolor="white">
                  <v:stroke miterlimit="2"/>
                  <v:textbox>
                    <w:txbxContent>
                      <w:p w:rsidR="00DE58A3" w:rsidRDefault="00BC6F62">
                        <w:pPr>
                          <w:jc w:val="center"/>
                        </w:pPr>
                        <w:r>
                          <w:rPr>
                            <w:rFonts w:hint="eastAsia"/>
                          </w:rPr>
                          <w:t>不能提供符合受理要求的</w:t>
                        </w:r>
                      </w:p>
                      <w:p w:rsidR="00DE58A3" w:rsidRDefault="00BC6F62">
                        <w:pPr>
                          <w:jc w:val="center"/>
                        </w:pPr>
                        <w:r>
                          <w:rPr>
                            <w:rFonts w:hint="eastAsia"/>
                          </w:rPr>
                          <w:t>材料</w:t>
                        </w:r>
                      </w:p>
                    </w:txbxContent>
                  </v:textbox>
                </v:shape>
                <v:shape id="AutoShape 1129" o:spid="_x0000_s1041" type="#_x0000_t32" style="position:absolute;left:5893;top:4472;width:0;height:378" o:connectortype="straight" o:preferrelative="t">
                  <v:stroke endarrow="block" miterlimit="2"/>
                </v:shape>
                <v:shape id="Text Box 1130" o:spid="_x0000_s1042" type="#_x0000_t202" style="position:absolute;left:2568;top:6566;width:2737;height:477" o:preferrelative="t" strokecolor="white">
                  <v:stroke miterlimit="2"/>
                  <v:textbox>
                    <w:txbxContent>
                      <w:p w:rsidR="00DE58A3" w:rsidRDefault="00BC6F6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31" o:spid="_x0000_s1043" type="#_x0000_t4" style="position:absolute;left:4156;top:4833;width:3480;height:1733" o:preferrelative="t">
                  <v:stroke miterlimit="2"/>
                  <v:textbox>
                    <w:txbxContent>
                      <w:p w:rsidR="00DE58A3" w:rsidRDefault="00DE58A3">
                        <w:pPr>
                          <w:jc w:val="center"/>
                        </w:pPr>
                      </w:p>
                      <w:p w:rsidR="00DE58A3" w:rsidRDefault="00BC6F62">
                        <w:pPr>
                          <w:jc w:val="center"/>
                        </w:pPr>
                        <w:r>
                          <w:rPr>
                            <w:rFonts w:hint="eastAsia"/>
                          </w:rPr>
                          <w:t>申请人补充材料</w:t>
                        </w:r>
                      </w:p>
                    </w:txbxContent>
                  </v:textbox>
                </v:shape>
                <v:rect id="Rectangle 1132" o:spid="_x0000_s1044" style="position:absolute;left:2568;top:7174;width:4816;height:519" o:preferrelative="t">
                  <v:stroke miterlimit="2"/>
                  <v:textbox>
                    <w:txbxContent>
                      <w:p w:rsidR="00DE58A3" w:rsidRDefault="00BC6F62">
                        <w:pPr>
                          <w:jc w:val="center"/>
                        </w:pPr>
                        <w:r>
                          <w:rPr>
                            <w:rFonts w:hint="eastAsia"/>
                          </w:rPr>
                          <w:t>依法应予受理，出具行政审批受理单</w:t>
                        </w:r>
                      </w:p>
                      <w:p w:rsidR="00DE58A3" w:rsidRDefault="00DE58A3">
                        <w:pPr>
                          <w:jc w:val="center"/>
                        </w:pPr>
                      </w:p>
                    </w:txbxContent>
                  </v:textbox>
                </v:rect>
                <v:rect id="Rectangle 1133" o:spid="_x0000_s1045" style="position:absolute;left:4566;top:3341;width:3190;height:1114" o:preferrelative="t">
                  <v:stroke miterlimit="2"/>
                  <v:textbox>
                    <w:txbxContent>
                      <w:p w:rsidR="00DE58A3" w:rsidRDefault="00BC6F62">
                        <w:pPr>
                          <w:jc w:val="center"/>
                        </w:pPr>
                        <w:r>
                          <w:rPr>
                            <w:rFonts w:hint="eastAsia"/>
                          </w:rPr>
                          <w:t>材料不全或不符合法定形式的，</w:t>
                        </w:r>
                      </w:p>
                      <w:p w:rsidR="00DE58A3" w:rsidRDefault="00BC6F62">
                        <w:pPr>
                          <w:jc w:val="center"/>
                        </w:pPr>
                        <w:r>
                          <w:rPr>
                            <w:rFonts w:hint="eastAsia"/>
                          </w:rPr>
                          <w:t>一次性告知补正材料，</w:t>
                        </w:r>
                      </w:p>
                      <w:p w:rsidR="00DE58A3" w:rsidRDefault="00BC6F62">
                        <w:pPr>
                          <w:jc w:val="center"/>
                        </w:pPr>
                        <w:r>
                          <w:rPr>
                            <w:rFonts w:hint="eastAsia"/>
                          </w:rPr>
                          <w:t>出具行政审批补正材料通知书</w:t>
                        </w:r>
                      </w:p>
                      <w:p w:rsidR="00DE58A3" w:rsidRDefault="00DE58A3"/>
                    </w:txbxContent>
                  </v:textbox>
                </v:rect>
                <v:shape id="AutoShape 1134" o:spid="_x0000_s1046" type="#_x0000_t116" style="position:absolute;left:4566;top:1337;width:2818;height:1423" o:preferrelative="t">
                  <v:stroke miterlimit="2"/>
                  <v:textbox>
                    <w:txbxContent>
                      <w:p w:rsidR="00DE58A3" w:rsidRDefault="00BC6F62">
                        <w:pPr>
                          <w:jc w:val="center"/>
                        </w:pPr>
                        <w:r>
                          <w:rPr>
                            <w:rFonts w:hint="eastAsia"/>
                          </w:rPr>
                          <w:t>依法不予受理的，</w:t>
                        </w:r>
                        <w:proofErr w:type="gramStart"/>
                        <w:r>
                          <w:rPr>
                            <w:rFonts w:hint="eastAsia"/>
                          </w:rPr>
                          <w:t>作出</w:t>
                        </w:r>
                        <w:proofErr w:type="gramEnd"/>
                        <w:r>
                          <w:rPr>
                            <w:rFonts w:hint="eastAsia"/>
                          </w:rPr>
                          <w:t>不予受理决定，出具不予受理行政审批申请通知书</w:t>
                        </w:r>
                      </w:p>
                      <w:p w:rsidR="00DE58A3" w:rsidRDefault="00DE58A3">
                        <w:pPr>
                          <w:jc w:val="center"/>
                        </w:pPr>
                      </w:p>
                    </w:txbxContent>
                  </v:textbox>
                </v:shape>
                <v:group id="Group 1135" o:spid="_x0000_s1047" style="position:absolute;width:4594;height:7424" coordsize="4594,7424">
                  <v:shape id="AutoShape 1136" o:spid="_x0000_s1048" type="#_x0000_t32" style="position:absolute;left:3663;top:3910;width:931;height:0" o:connectortype="straight" o:preferrelative="t">
                    <v:stroke endarrow="block" miterlimit="2"/>
                  </v:shape>
                  <v:shape id="AutoShape 1137" o:spid="_x0000_s1049" type="#_x0000_t32" style="position:absolute;left:1355;top:3986;width:1;height:3437" o:connectortype="straight" o:preferrelative="t">
                    <v:stroke miterlimit="2"/>
                  </v:shape>
                  <v:group id="Group 1138" o:spid="_x0000_s1050" style="position:absolute;width:3629;height:3986" coordsize="3629,3986">
                    <v:shape id="AutoShape 1139" o:spid="_x0000_s1051" type="#_x0000_t32" style="position:absolute;left:1396;top:1172;width:1;height:764" o:connectortype="straight" o:preferrelative="t">
                      <v:stroke endarrow="block" miterlimit="2"/>
                    </v:shape>
                    <v:shape id="AutoShape 1140" o:spid="_x0000_s1052" type="#_x0000_t32" style="position:absolute;left:2400;top:2967;width:1229;height:0" o:connectortype="straight" o:preferrelative="t">
                      <v:stroke miterlimit="2"/>
                    </v:shape>
                    <v:shape id="AutoShape 1141" o:spid="_x0000_s1053" type="#_x0000_t4" style="position:absolute;top:1936;width:2773;height:2050" o:preferrelative="t">
                      <v:stroke miterlimit="2"/>
                      <v:textbox>
                        <w:txbxContent>
                          <w:p w:rsidR="00DE58A3" w:rsidRDefault="00BC6F62">
                            <w:r>
                              <w:rPr>
                                <w:rFonts w:hint="eastAsia"/>
                              </w:rPr>
                              <w:t>接件（</w:t>
                            </w:r>
                            <w:r>
                              <w:t>5</w:t>
                            </w:r>
                            <w:r>
                              <w:rPr>
                                <w:rFonts w:hint="eastAsia"/>
                              </w:rPr>
                              <w:t>个工作日）</w:t>
                            </w:r>
                            <w:proofErr w:type="gramStart"/>
                            <w:r>
                              <w:rPr>
                                <w:rFonts w:hint="eastAsia"/>
                              </w:rPr>
                              <w:t>作出</w:t>
                            </w:r>
                            <w:proofErr w:type="gramEnd"/>
                            <w:r>
                              <w:rPr>
                                <w:rFonts w:hint="eastAsia"/>
                              </w:rPr>
                              <w:t>是否受理决定</w:t>
                            </w:r>
                          </w:p>
                          <w:p w:rsidR="00DE58A3" w:rsidRDefault="00DE58A3"/>
                        </w:txbxContent>
                      </v:textbox>
                    </v:shape>
                    <v:shape id="AutoShape 1142" o:spid="_x0000_s1054" type="#_x0000_t116" style="position:absolute;left:184;width:2724;height:1172" o:preferrelative="t">
                      <v:stroke miterlimit="2"/>
                      <v:textbox>
                        <w:txbxContent>
                          <w:p w:rsidR="00DE58A3" w:rsidRDefault="00BC6F62">
                            <w:pPr>
                              <w:jc w:val="center"/>
                            </w:pPr>
                            <w:r>
                              <w:rPr>
                                <w:rFonts w:hint="eastAsia"/>
                              </w:rPr>
                              <w:t>申请人提出书面申请，并提交材料</w:t>
                            </w:r>
                          </w:p>
                        </w:txbxContent>
                      </v:textbox>
                    </v:shape>
                  </v:group>
                  <v:shape id="AutoShape 1143" o:spid="_x0000_s1055" type="#_x0000_t32" style="position:absolute;left:1355;top:7423;width:1213;height:1" o:connectortype="straight" o:preferrelative="t">
                    <v:stroke endarrow="block" miterlimit="2"/>
                  </v:shape>
                  <v:shape id="AutoShape 1144" o:spid="_x0000_s1056" type="#_x0000_t32" style="position:absolute;left:3663;top:1999;width:0;height:1921" o:connectortype="straight" o:preferrelative="t">
                    <v:stroke miterlimit="2"/>
                  </v:shape>
                  <v:shape id="AutoShape 1145" o:spid="_x0000_s1057" type="#_x0000_t32" style="position:absolute;left:3663;top:1989;width:903;height:1" o:connectortype="straight" o:preferrelative="t">
                    <v:stroke endarrow="block" miterlimit="2"/>
                  </v:shape>
                  <v:shape id="Text Box 1146" o:spid="_x0000_s1058" type="#_x0000_t202" style="position:absolute;left:597;top:5280;width:508;height:1152" o:preferrelative="t" strokecolor="white">
                    <v:stroke miterlimit="2"/>
                    <v:textbox>
                      <w:txbxContent>
                        <w:p w:rsidR="00DE58A3" w:rsidRDefault="00BC6F62">
                          <w:r>
                            <w:rPr>
                              <w:rFonts w:hint="eastAsia"/>
                            </w:rPr>
                            <w:t>是</w:t>
                          </w:r>
                        </w:p>
                      </w:txbxContent>
                    </v:textbox>
                  </v:shape>
                  <v:shape id="Text Box 1147" o:spid="_x0000_s1059" type="#_x0000_t202" style="position:absolute;left:2799;top:2220;width:508;height:471" o:preferrelative="t" strokecolor="white">
                    <v:stroke miterlimit="2"/>
                    <v:textbox style="mso-fit-shape-to-text:t">
                      <w:txbxContent>
                        <w:p w:rsidR="00DE58A3" w:rsidRDefault="00BC6F62">
                          <w:proofErr w:type="gramStart"/>
                          <w:r>
                            <w:rPr>
                              <w:rFonts w:hint="eastAsia"/>
                            </w:rPr>
                            <w:t>否</w:t>
                          </w:r>
                          <w:proofErr w:type="gramEnd"/>
                        </w:p>
                      </w:txbxContent>
                    </v:textbox>
                  </v:shape>
                </v:group>
                <v:shape id="AutoShape 1148" o:spid="_x0000_s1060" type="#_x0000_t32" style="position:absolute;left:7384;top:1886;width:1537;height:0;flip:x" o:connectortype="straight" o:preferrelative="t">
                  <v:stroke endarrow="block" miterlimit="2"/>
                </v:shape>
              </v:group>
            </v:group>
          </v:group>
        </w:pict>
      </w:r>
    </w:p>
    <w:p w:rsidR="00DE58A3" w:rsidRDefault="00DE58A3">
      <w:pPr>
        <w:ind w:right="300"/>
        <w:rPr>
          <w:rFonts w:ascii="Times New Roman" w:eastAsia="仿宋_GB2312" w:hAnsi="Times New Roman" w:cs="Times New Roman"/>
          <w:sz w:val="30"/>
          <w:szCs w:val="30"/>
        </w:rPr>
      </w:pPr>
    </w:p>
    <w:p w:rsidR="00DE58A3" w:rsidRDefault="00DE58A3">
      <w:pPr>
        <w:ind w:right="300"/>
        <w:rPr>
          <w:rFonts w:ascii="Times New Roman" w:eastAsia="仿宋_GB2312" w:hAnsi="Times New Roman" w:cs="Times New Roman"/>
          <w:sz w:val="30"/>
          <w:szCs w:val="30"/>
        </w:rPr>
      </w:pPr>
    </w:p>
    <w:p w:rsidR="00DE58A3" w:rsidRDefault="00DE58A3">
      <w:pPr>
        <w:ind w:right="300"/>
        <w:rPr>
          <w:rFonts w:ascii="Times New Roman" w:eastAsia="仿宋_GB2312" w:hAnsi="Times New Roman" w:cs="Times New Roman"/>
          <w:sz w:val="30"/>
          <w:szCs w:val="30"/>
        </w:rPr>
      </w:pPr>
    </w:p>
    <w:p w:rsidR="00DE58A3" w:rsidRDefault="00DE58A3">
      <w:pPr>
        <w:ind w:right="300"/>
        <w:rPr>
          <w:rFonts w:ascii="Times New Roman" w:eastAsia="仿宋_GB2312" w:hAnsi="Times New Roman" w:cs="Times New Roman"/>
          <w:sz w:val="30"/>
          <w:szCs w:val="30"/>
        </w:rPr>
      </w:pPr>
    </w:p>
    <w:p w:rsidR="00DE58A3" w:rsidRDefault="00BC6F62">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E58A3" w:rsidRDefault="00BC6F62">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DE58A3" w:rsidRDefault="00DE58A3">
      <w:pPr>
        <w:adjustRightInd w:val="0"/>
        <w:snapToGrid w:val="0"/>
        <w:spacing w:line="360" w:lineRule="auto"/>
        <w:jc w:val="center"/>
        <w:rPr>
          <w:rFonts w:ascii="Times New Roman" w:eastAsia="黑体" w:hAnsi="Times New Roman" w:cs="Times New Roman"/>
          <w:sz w:val="30"/>
          <w:szCs w:val="30"/>
        </w:rPr>
      </w:pPr>
    </w:p>
    <w:p w:rsidR="00DE58A3" w:rsidRDefault="00BC6F62">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DE58A3" w:rsidRDefault="00DE58A3">
      <w:pPr>
        <w:adjustRightInd w:val="0"/>
        <w:snapToGrid w:val="0"/>
        <w:spacing w:line="360" w:lineRule="auto"/>
        <w:jc w:val="center"/>
        <w:rPr>
          <w:rFonts w:ascii="Times New Roman" w:eastAsia="黑体" w:hAnsi="Times New Roman" w:cs="Times New Roman"/>
          <w:sz w:val="30"/>
          <w:szCs w:val="30"/>
        </w:rPr>
      </w:pPr>
    </w:p>
    <w:p w:rsidR="00DE58A3" w:rsidRDefault="00BC6F6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问：融资租赁类公司开展对外融资租赁业务时，是否有额度限制？</w:t>
      </w:r>
    </w:p>
    <w:p w:rsidR="00DE58A3" w:rsidRDefault="00BC6F62">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答：融资租赁类公司开展对外融资租赁业务时，不受现行境内企业境外放款额度限制。</w:t>
      </w:r>
    </w:p>
    <w:sectPr w:rsidR="00DE58A3">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F62" w:rsidRDefault="00BC6F62">
      <w:r>
        <w:separator/>
      </w:r>
    </w:p>
  </w:endnote>
  <w:endnote w:type="continuationSeparator" w:id="0">
    <w:p w:rsidR="00BC6F62" w:rsidRDefault="00B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A3" w:rsidRDefault="00BC6F62">
    <w:pPr>
      <w:pStyle w:val="a6"/>
      <w:jc w:val="center"/>
    </w:pPr>
    <w:r>
      <w:fldChar w:fldCharType="begin"/>
    </w:r>
    <w:r>
      <w:instrText xml:space="preserve"> PAGE   \* MERGEFORMAT </w:instrText>
    </w:r>
    <w:r>
      <w:fldChar w:fldCharType="separate"/>
    </w:r>
    <w:r>
      <w:rPr>
        <w:lang w:val="zh-CN"/>
      </w:rPr>
      <w:t>13</w:t>
    </w:r>
    <w:r>
      <w:rPr>
        <w:lang w:val="zh-CN"/>
      </w:rPr>
      <w:fldChar w:fldCharType="end"/>
    </w:r>
  </w:p>
  <w:p w:rsidR="00DE58A3" w:rsidRDefault="00DE58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A3" w:rsidRDefault="00BC6F62">
    <w:pPr>
      <w:pStyle w:val="a6"/>
      <w:jc w:val="center"/>
    </w:pPr>
    <w:r>
      <w:fldChar w:fldCharType="begin"/>
    </w:r>
    <w:r>
      <w:instrText xml:space="preserve"> PAGE   \* MERGEFORMAT </w:instrText>
    </w:r>
    <w:r>
      <w:fldChar w:fldCharType="separate"/>
    </w:r>
    <w:r w:rsidR="00C061EE" w:rsidRPr="00C061EE">
      <w:rPr>
        <w:noProof/>
        <w:lang w:val="zh-CN"/>
      </w:rPr>
      <w:t>7</w:t>
    </w:r>
    <w:r>
      <w:rPr>
        <w:lang w:val="zh-CN"/>
      </w:rPr>
      <w:fldChar w:fldCharType="end"/>
    </w:r>
  </w:p>
  <w:p w:rsidR="00DE58A3" w:rsidRDefault="00DE5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F62" w:rsidRDefault="00BC6F62">
      <w:r>
        <w:separator/>
      </w:r>
    </w:p>
  </w:footnote>
  <w:footnote w:type="continuationSeparator" w:id="0">
    <w:p w:rsidR="00BC6F62" w:rsidRDefault="00BC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C6F62"/>
    <w:rsid w:val="00BD233D"/>
    <w:rsid w:val="00BD41DF"/>
    <w:rsid w:val="00BF4EF0"/>
    <w:rsid w:val="00C00144"/>
    <w:rsid w:val="00C02E44"/>
    <w:rsid w:val="00C061EE"/>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DE58A3"/>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34B16"/>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04B808CE"/>
    <w:rsid w:val="288F60B8"/>
    <w:rsid w:val="5EB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119"/>
        <o:r id="V:Rule2" type="connector" idref="#AutoShape 1121"/>
        <o:r id="V:Rule3" type="connector" idref="#AutoShape 1120"/>
        <o:r id="V:Rule4" type="connector" idref="#AutoShape 1127"/>
        <o:r id="V:Rule5" type="connector" idref="#AutoShape 1125"/>
        <o:r id="V:Rule6" type="connector" idref="#AutoShape 1122"/>
        <o:r id="V:Rule7" type="connector" idref="#AutoShape 1123"/>
        <o:r id="V:Rule8" type="connector" idref="#AutoShape 1137"/>
        <o:r id="V:Rule9" type="connector" idref="#AutoShape 1139"/>
        <o:r id="V:Rule10" type="connector" idref="#AutoShape 1143"/>
        <o:r id="V:Rule11" type="connector" idref="#AutoShape 1140"/>
        <o:r id="V:Rule12" type="connector" idref="#AutoShape 1129"/>
        <o:r id="V:Rule13" type="connector" idref="#AutoShape 1148"/>
        <o:r id="V:Rule14" type="connector" idref="#AutoShape 1136"/>
        <o:r id="V:Rule15" type="connector" idref="#AutoShape 1144"/>
        <o:r id="V:Rule16" type="connector" idref="#AutoShape 1145"/>
      </o:rules>
    </o:shapelayout>
  </w:shapeDefaults>
  <w:decimalSymbol w:val="."/>
  <w:listSeparator w:val=","/>
  <w15:docId w15:val="{4A7D6FE3-ECE4-4B75-8407-4AA90C18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编号：57007               _x0001_</dc:title>
  <dc:creator>裴建君2</dc:creator>
  <cp:lastModifiedBy>孟田</cp:lastModifiedBy>
  <cp:revision>1</cp:revision>
  <cp:lastPrinted>2017-11-24T00:22:00Z</cp:lastPrinted>
  <dcterms:created xsi:type="dcterms:W3CDTF">2020-03-17T07:54:00Z</dcterms:created>
  <dcterms:modified xsi:type="dcterms:W3CDTF">2021-02-04T06:54:00Z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