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89" w:rsidRDefault="00684389">
      <w:pPr>
        <w:jc w:val="center"/>
        <w:rPr>
          <w:rFonts w:ascii="Times New Roman" w:eastAsia="仿宋_GB2312" w:hAnsi="Times New Roman" w:cs="Times New Roman"/>
          <w:sz w:val="30"/>
          <w:szCs w:val="30"/>
        </w:rPr>
      </w:pPr>
    </w:p>
    <w:p w:rsidR="00684389" w:rsidRDefault="00684389">
      <w:pPr>
        <w:rPr>
          <w:rFonts w:ascii="Times New Roman" w:eastAsia="仿宋_GB2312" w:hAnsi="Times New Roman" w:cs="Times New Roman"/>
          <w:sz w:val="30"/>
          <w:szCs w:val="30"/>
        </w:rPr>
      </w:pPr>
    </w:p>
    <w:p w:rsidR="00684389" w:rsidRDefault="00166B28">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684389" w:rsidRDefault="00684389">
      <w:pPr>
        <w:ind w:right="300"/>
        <w:jc w:val="center"/>
        <w:rPr>
          <w:rFonts w:ascii="Times New Roman" w:eastAsia="黑体" w:hAnsi="Times New Roman" w:cs="Times New Roman"/>
          <w:sz w:val="30"/>
          <w:szCs w:val="30"/>
        </w:rPr>
      </w:pPr>
    </w:p>
    <w:p w:rsidR="00684389" w:rsidRDefault="00684389">
      <w:pPr>
        <w:ind w:right="300"/>
        <w:jc w:val="center"/>
        <w:rPr>
          <w:rFonts w:ascii="Times New Roman" w:eastAsia="黑体" w:hAnsi="Times New Roman" w:cs="Times New Roman"/>
          <w:sz w:val="30"/>
          <w:szCs w:val="30"/>
        </w:rPr>
      </w:pPr>
    </w:p>
    <w:p w:rsidR="00684389" w:rsidRDefault="00684389">
      <w:pPr>
        <w:ind w:right="300"/>
        <w:jc w:val="center"/>
        <w:rPr>
          <w:rFonts w:ascii="Times New Roman" w:eastAsia="黑体" w:hAnsi="Times New Roman" w:cs="Times New Roman"/>
          <w:sz w:val="30"/>
          <w:szCs w:val="30"/>
        </w:rPr>
      </w:pPr>
    </w:p>
    <w:p w:rsidR="00684389" w:rsidRDefault="00684389">
      <w:pPr>
        <w:ind w:right="300"/>
        <w:jc w:val="center"/>
        <w:rPr>
          <w:rFonts w:ascii="Times New Roman" w:eastAsia="黑体" w:hAnsi="Times New Roman" w:cs="Times New Roman"/>
          <w:sz w:val="52"/>
          <w:szCs w:val="52"/>
        </w:rPr>
      </w:pPr>
    </w:p>
    <w:p w:rsidR="00684389" w:rsidRDefault="00166B2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684389" w:rsidRDefault="00166B2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166B2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684389" w:rsidRDefault="00166B2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684389" w:rsidRDefault="00166B2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684389" w:rsidRDefault="00684389">
      <w:pPr>
        <w:ind w:right="300"/>
        <w:rPr>
          <w:rFonts w:ascii="Times New Roman" w:eastAsia="仿宋_GB2312" w:hAnsi="Times New Roman" w:cs="Times New Roman"/>
          <w:sz w:val="30"/>
          <w:szCs w:val="30"/>
        </w:rPr>
      </w:pPr>
    </w:p>
    <w:p w:rsidR="00684389" w:rsidRDefault="00166B28">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684389" w:rsidRDefault="00166B28">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684389" w:rsidRDefault="00166B28">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684389" w:rsidRDefault="00166B28">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684389" w:rsidRDefault="00166B28">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684389" w:rsidRDefault="00166B28">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684389" w:rsidRDefault="00166B28">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84389" w:rsidRDefault="00166B28">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w:t>
      </w:r>
      <w:r>
        <w:rPr>
          <w:rFonts w:ascii="Times New Roman" w:eastAsia="仿宋_GB2312" w:hAnsi="Times New Roman" w:cs="Times New Roman"/>
          <w:sz w:val="30"/>
          <w:szCs w:val="30"/>
        </w:rPr>
        <w:t>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w:t>
      </w:r>
      <w:r>
        <w:rPr>
          <w:rFonts w:ascii="Times New Roman" w:eastAsia="仿宋_GB2312" w:hAnsi="Times New Roman" w:cs="Times New Roman"/>
          <w:sz w:val="30"/>
          <w:szCs w:val="30"/>
        </w:rPr>
        <w:t>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84389" w:rsidRDefault="00166B2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四、内保外贷登记</w:t>
      </w:r>
    </w:p>
    <w:p w:rsidR="00684389" w:rsidRDefault="00166B28">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《国家外汇管理局关于对部分非银行机构内保外贷业务实行集中登记管理的通知》（汇发〔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号）。</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《国家外汇管理局关于优化外汇管理支持涉外业务发展的通知》（汇发〔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684389" w:rsidRDefault="00166B2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84389" w:rsidRDefault="00166B2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申请人所在地外汇局。境内担保人为个人的，由个人户籍所在地外汇局办理。</w:t>
      </w:r>
    </w:p>
    <w:p w:rsidR="00684389" w:rsidRDefault="00166B2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申请人所在地或个人户籍所在地外汇局。</w:t>
      </w:r>
    </w:p>
    <w:p w:rsidR="00684389" w:rsidRDefault="00166B2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84389" w:rsidRDefault="00166B2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无数量限制。</w:t>
      </w:r>
    </w:p>
    <w:p w:rsidR="00684389" w:rsidRDefault="00166B2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内保外贷是指担保人注册地在境内、债务人和债权人注册地均在境外的跨境担保。</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登记</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担保人为非银行金融机构或企业（以下简称非银行机构）的，应在签订担保合同后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个工作日内办理内保外贷签约登记手续。</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担保合同主要条款发生变更的，应当在</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个工作日内办理内保外贷签约变更登记手续。</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同一内保外贷业务下存在多个境内担保人的，可自行约定其中一个担保人到所在地外汇局办理登记手续。</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满足以下条件的非银行机构，可根据经营需要向当地外汇局提出内保外贷业务集中登记申请：内保外贷业务发生频率较高（原则上预计每年需要登记的业务笔数不低于</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笔），有办理集中登记的实际需求；具有完善的担保业务内控制度；近三年无重大外汇管理违法违规行为；所在地外汇局认为的其他事由。满足条件的非银行机构应在每月结束后</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个工作日内通过逐笔填报</w:t>
      </w:r>
      <w:r>
        <w:rPr>
          <w:rFonts w:ascii="Times New Roman" w:eastAsia="仿宋_GB2312" w:hAnsi="Times New Roman" w:cs="Times New Roman" w:hint="eastAsia"/>
          <w:sz w:val="30"/>
          <w:szCs w:val="30"/>
        </w:rPr>
        <w:t>《非银行机构内保外贷集中登记逐笔月报表》向所在地外汇局集中办理签约登记手续。</w:t>
      </w:r>
    </w:p>
    <w:p w:rsidR="00684389" w:rsidRDefault="00166B2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rsidR="00684389" w:rsidRDefault="00166B28">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6.</w:t>
      </w:r>
      <w:r>
        <w:rPr>
          <w:rFonts w:ascii="Times New Roman" w:eastAsia="仿宋_GB2312" w:hAnsi="Times New Roman"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684389" w:rsidRDefault="00166B28">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禁止性要求：如符合上述条件，不存在不予许可的情况。</w:t>
      </w:r>
    </w:p>
    <w:p w:rsidR="00684389" w:rsidRDefault="00166B28">
      <w:pPr>
        <w:widowControl/>
        <w:ind w:firstLineChars="200" w:firstLine="600"/>
        <w:rPr>
          <w:rFonts w:ascii="Times New Roman" w:eastAsia="黑体" w:hAnsi="Times New Roman" w:cs="Times New Roman"/>
          <w:sz w:val="30"/>
          <w:szCs w:val="30"/>
        </w:rPr>
      </w:pPr>
      <w:r>
        <w:rPr>
          <w:rFonts w:ascii="Times New Roman" w:eastAsia="仿宋_GB2312" w:hAnsi="Times New Roman" w:cs="Times New Roman" w:hint="eastAsia"/>
          <w:sz w:val="30"/>
          <w:szCs w:val="30"/>
        </w:rPr>
        <w:t>（</w:t>
      </w:r>
      <w:r>
        <w:rPr>
          <w:rFonts w:ascii="Times New Roman" w:eastAsia="黑体" w:hAnsi="Times New Roman" w:cs="Times New Roman"/>
          <w:sz w:val="30"/>
          <w:szCs w:val="30"/>
        </w:rPr>
        <w:t>六）申请材料</w:t>
      </w:r>
    </w:p>
    <w:p w:rsidR="00684389" w:rsidRDefault="00166B28">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内保外贷签约</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变更</w:t>
      </w:r>
      <w:r>
        <w:rPr>
          <w:rFonts w:ascii="Times New Roman" w:eastAsia="仿宋_GB2312" w:hAnsi="Times New Roman" w:cs="Times New Roman"/>
          <w:sz w:val="30"/>
          <w:szCs w:val="30"/>
        </w:rPr>
        <w:t>)</w:t>
      </w:r>
      <w:r>
        <w:rPr>
          <w:rFonts w:ascii="Times New Roman" w:eastAsia="仿宋_GB2312" w:hAnsi="Times New Roman" w:cs="Times New Roman"/>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567"/>
        <w:gridCol w:w="851"/>
        <w:gridCol w:w="708"/>
        <w:gridCol w:w="1043"/>
      </w:tblGrid>
      <w:tr w:rsidR="00684389">
        <w:tc>
          <w:tcPr>
            <w:tcW w:w="534"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3"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84389">
        <w:tc>
          <w:tcPr>
            <w:tcW w:w="534" w:type="dxa"/>
            <w:vAlign w:val="center"/>
          </w:tcPr>
          <w:p w:rsidR="00684389" w:rsidRDefault="00166B2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276"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684389" w:rsidRDefault="00684389">
            <w:pPr>
              <w:jc w:val="left"/>
              <w:rPr>
                <w:rFonts w:ascii="Times New Roman" w:eastAsia="仿宋_GB2312" w:hAnsi="Times New Roman" w:cs="Times New Roman"/>
                <w:sz w:val="24"/>
                <w:szCs w:val="24"/>
              </w:rPr>
            </w:pPr>
          </w:p>
        </w:tc>
      </w:tr>
      <w:tr w:rsidR="00684389">
        <w:trPr>
          <w:trHeight w:val="378"/>
        </w:trPr>
        <w:tc>
          <w:tcPr>
            <w:tcW w:w="534" w:type="dxa"/>
            <w:vAlign w:val="center"/>
          </w:tcPr>
          <w:p w:rsidR="00684389" w:rsidRDefault="00166B2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加盖公章的担保合同和担保项下主债务合同主要条款复印件</w:t>
            </w:r>
          </w:p>
        </w:tc>
        <w:tc>
          <w:tcPr>
            <w:tcW w:w="1276"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jc w:val="left"/>
              <w:rPr>
                <w:rFonts w:ascii="Times New Roman" w:eastAsia="仿宋_GB2312" w:hAnsi="Times New Roman" w:cs="Times New Roman"/>
                <w:sz w:val="24"/>
                <w:szCs w:val="24"/>
              </w:rPr>
            </w:pPr>
          </w:p>
        </w:tc>
        <w:tc>
          <w:tcPr>
            <w:tcW w:w="10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684389">
        <w:trPr>
          <w:trHeight w:val="1767"/>
        </w:trPr>
        <w:tc>
          <w:tcPr>
            <w:tcW w:w="534" w:type="dxa"/>
            <w:vAlign w:val="center"/>
          </w:tcPr>
          <w:p w:rsidR="00684389" w:rsidRDefault="00166B2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jc w:val="left"/>
              <w:rPr>
                <w:rFonts w:ascii="Times New Roman" w:eastAsia="仿宋_GB2312" w:hAnsi="Times New Roman" w:cs="Times New Roman"/>
                <w:sz w:val="24"/>
                <w:szCs w:val="24"/>
              </w:rPr>
            </w:pPr>
          </w:p>
        </w:tc>
        <w:tc>
          <w:tcPr>
            <w:tcW w:w="10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684389">
        <w:trPr>
          <w:trHeight w:val="1125"/>
        </w:trPr>
        <w:tc>
          <w:tcPr>
            <w:tcW w:w="534" w:type="dxa"/>
            <w:vAlign w:val="center"/>
          </w:tcPr>
          <w:p w:rsidR="00684389" w:rsidRDefault="00166B28">
            <w:pPr>
              <w:jc w:val="center"/>
              <w:rPr>
                <w:rFonts w:ascii="Times New Roman" w:eastAsia="仿宋_GB2312" w:hAnsi="Times New Roman" w:cs="Times New Roman"/>
                <w:sz w:val="24"/>
                <w:szCs w:val="24"/>
              </w:rPr>
            </w:pPr>
            <w:bookmarkStart w:id="0" w:name="OLE_LINK3"/>
            <w:bookmarkStart w:id="1" w:name="OLE_LINK4"/>
            <w:r>
              <w:rPr>
                <w:rFonts w:ascii="Times New Roman" w:eastAsia="仿宋_GB2312" w:hAnsi="Times New Roman" w:cs="Times New Roman"/>
                <w:sz w:val="24"/>
                <w:szCs w:val="24"/>
              </w:rPr>
              <w:t>4</w:t>
            </w:r>
          </w:p>
        </w:tc>
        <w:tc>
          <w:tcPr>
            <w:tcW w:w="3543" w:type="dxa"/>
            <w:vAlign w:val="center"/>
          </w:tcPr>
          <w:p w:rsidR="00684389" w:rsidRDefault="00166B28">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办理内保外贷签约变更登记时，还应提供变更事项的真实性证明材料</w:t>
            </w:r>
          </w:p>
        </w:tc>
        <w:tc>
          <w:tcPr>
            <w:tcW w:w="1276"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jc w:val="left"/>
              <w:rPr>
                <w:rFonts w:ascii="Times New Roman" w:eastAsia="仿宋_GB2312" w:hAnsi="Times New Roman" w:cs="Times New Roman"/>
                <w:sz w:val="24"/>
                <w:szCs w:val="24"/>
              </w:rPr>
            </w:pPr>
          </w:p>
        </w:tc>
        <w:tc>
          <w:tcPr>
            <w:tcW w:w="1043" w:type="dxa"/>
            <w:vAlign w:val="center"/>
          </w:tcPr>
          <w:p w:rsidR="00684389" w:rsidRDefault="00684389">
            <w:pPr>
              <w:jc w:val="left"/>
              <w:rPr>
                <w:rFonts w:ascii="Times New Roman" w:eastAsia="仿宋_GB2312" w:hAnsi="Times New Roman" w:cs="Times New Roman"/>
                <w:sz w:val="24"/>
                <w:szCs w:val="24"/>
              </w:rPr>
            </w:pPr>
          </w:p>
        </w:tc>
      </w:tr>
    </w:tbl>
    <w:p w:rsidR="00684389" w:rsidRDefault="00166B28">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内保外贷注销登记申请材料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559"/>
        <w:gridCol w:w="992"/>
        <w:gridCol w:w="851"/>
        <w:gridCol w:w="708"/>
        <w:gridCol w:w="1043"/>
      </w:tblGrid>
      <w:tr w:rsidR="00684389">
        <w:trPr>
          <w:jc w:val="center"/>
        </w:trPr>
        <w:tc>
          <w:tcPr>
            <w:tcW w:w="534"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559"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684389" w:rsidRDefault="00166B2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84389">
        <w:trPr>
          <w:jc w:val="center"/>
        </w:trPr>
        <w:tc>
          <w:tcPr>
            <w:tcW w:w="534" w:type="dxa"/>
            <w:vAlign w:val="center"/>
          </w:tcPr>
          <w:p w:rsidR="00684389" w:rsidRDefault="00166B2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书面申请，并附原《内保外贷登记表》</w:t>
            </w:r>
          </w:p>
        </w:tc>
        <w:tc>
          <w:tcPr>
            <w:tcW w:w="1559"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684389" w:rsidRDefault="00684389">
            <w:pPr>
              <w:jc w:val="left"/>
              <w:rPr>
                <w:rFonts w:ascii="Times New Roman" w:eastAsia="仿宋_GB2312" w:hAnsi="Times New Roman" w:cs="Times New Roman"/>
                <w:sz w:val="24"/>
                <w:szCs w:val="24"/>
              </w:rPr>
            </w:pPr>
          </w:p>
        </w:tc>
      </w:tr>
      <w:tr w:rsidR="00684389">
        <w:trPr>
          <w:trHeight w:val="378"/>
          <w:jc w:val="center"/>
        </w:trPr>
        <w:tc>
          <w:tcPr>
            <w:tcW w:w="534" w:type="dxa"/>
            <w:vAlign w:val="center"/>
          </w:tcPr>
          <w:p w:rsidR="00684389" w:rsidRDefault="00166B2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2835" w:type="dxa"/>
            <w:vAlign w:val="center"/>
          </w:tcPr>
          <w:p w:rsidR="00684389" w:rsidRDefault="00166B28">
            <w:pPr>
              <w:autoSpaceDE w:val="0"/>
              <w:autoSpaceDN w:val="0"/>
              <w:adjustRightIn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内保外贷责任解除的相关证明材料</w:t>
            </w:r>
          </w:p>
        </w:tc>
        <w:tc>
          <w:tcPr>
            <w:tcW w:w="1559"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684389" w:rsidRDefault="00684389">
            <w:pPr>
              <w:jc w:val="left"/>
              <w:rPr>
                <w:rFonts w:ascii="Times New Roman" w:eastAsia="仿宋_GB2312" w:hAnsi="Times New Roman" w:cs="Times New Roman"/>
                <w:sz w:val="24"/>
                <w:szCs w:val="24"/>
              </w:rPr>
            </w:pPr>
          </w:p>
        </w:tc>
        <w:tc>
          <w:tcPr>
            <w:tcW w:w="1043" w:type="dxa"/>
            <w:vAlign w:val="center"/>
          </w:tcPr>
          <w:p w:rsidR="00684389" w:rsidRDefault="00166B2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684389" w:rsidRDefault="00166B28">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84389" w:rsidRDefault="00166B28">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684389" w:rsidRDefault="00166B28">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84389" w:rsidRDefault="00166B28">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684389" w:rsidRDefault="00166B28">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684389" w:rsidRDefault="00166B28">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684389" w:rsidRDefault="00166B28">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684389" w:rsidRDefault="00166B28">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684389" w:rsidRDefault="00166B28">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84389" w:rsidRDefault="00166B2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684389" w:rsidRDefault="00166B2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84389" w:rsidRDefault="00166B2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684389" w:rsidRDefault="00166B28">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684389" w:rsidRDefault="00166B28">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684389" w:rsidRDefault="00166B28">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684389" w:rsidRDefault="00166B28">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lastRenderedPageBreak/>
        <w:t>出具相关业务办理凭证。</w:t>
      </w:r>
    </w:p>
    <w:p w:rsidR="00684389" w:rsidRDefault="00166B2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十三）结果送达</w:t>
      </w:r>
    </w:p>
    <w:p w:rsidR="00684389" w:rsidRDefault="00166B2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684389" w:rsidRDefault="00166B2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84389" w:rsidRDefault="00166B2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84389" w:rsidRDefault="00166B28">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684389" w:rsidRDefault="00391F15">
      <w:pPr>
        <w:adjustRightInd w:val="0"/>
        <w:snapToGrid w:val="0"/>
        <w:spacing w:line="360" w:lineRule="auto"/>
        <w:ind w:firstLine="600"/>
        <w:rPr>
          <w:rFonts w:ascii="Times New Roman" w:eastAsia="仿宋_GB2312" w:hAnsi="Times New Roman" w:cs="Times New Roman"/>
          <w:sz w:val="30"/>
          <w:szCs w:val="30"/>
        </w:rPr>
      </w:pPr>
      <w:bookmarkStart w:id="2" w:name="_GoBack"/>
      <w:bookmarkEnd w:id="2"/>
      <w:r w:rsidRPr="00391F15">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391F15">
        <w:rPr>
          <w:rFonts w:ascii="Times New Roman" w:eastAsia="仿宋_GB2312" w:hAnsi="Times New Roman" w:cs="Times New Roman" w:hint="eastAsia"/>
          <w:sz w:val="30"/>
          <w:szCs w:val="30"/>
        </w:rPr>
        <w:t>www.safe.gov.cn</w:t>
      </w:r>
      <w:r w:rsidRPr="00391F15">
        <w:rPr>
          <w:rFonts w:ascii="Times New Roman" w:eastAsia="仿宋_GB2312" w:hAnsi="Times New Roman" w:cs="Times New Roman" w:hint="eastAsia"/>
          <w:sz w:val="30"/>
          <w:szCs w:val="30"/>
        </w:rPr>
        <w:t>链接至江苏分局“业务指南”栏目进行，也可通过栏目中公布的电话进行。</w:t>
      </w:r>
      <w:r w:rsidR="00166B28">
        <w:rPr>
          <w:rFonts w:ascii="Times New Roman" w:eastAsia="仿宋_GB2312" w:hAnsi="Times New Roman" w:cs="Times New Roman"/>
          <w:sz w:val="30"/>
          <w:szCs w:val="30"/>
        </w:rPr>
        <w:br w:type="page"/>
      </w:r>
      <w:r w:rsidR="00166B28">
        <w:rPr>
          <w:rFonts w:ascii="Times New Roman" w:eastAsia="仿宋_GB2312" w:hAnsi="Times New Roman" w:cs="Times New Roman"/>
          <w:sz w:val="30"/>
          <w:szCs w:val="30"/>
        </w:rPr>
        <w:lastRenderedPageBreak/>
        <w:t>附录一</w:t>
      </w:r>
    </w:p>
    <w:p w:rsidR="00684389" w:rsidRDefault="00166B2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684389" w:rsidRDefault="00166B2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70" o:spid="_x0000_s1027" style="position:absolute;left:0;text-align:left;margin-left:-18pt;margin-top:-.95pt;width:453.65pt;height:586.05pt;z-index:1" coordorigin="1195,3000" coordsize="9073,11721">
            <v:rect id="Rectangle 6" o:spid="_x0000_s1028" style="position:absolute;left:4255;top:11319;width:2985;height:534" o:preferrelative="t">
              <v:stroke miterlimit="2"/>
              <v:textbox>
                <w:txbxContent>
                  <w:p w:rsidR="00684389" w:rsidRDefault="00166B2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684389" w:rsidRDefault="00166B28">
                    <w:pPr>
                      <w:jc w:val="center"/>
                    </w:pPr>
                    <w:r>
                      <w:rPr>
                        <w:rFonts w:hint="eastAsia"/>
                      </w:rPr>
                      <w:t>依法作出不予许可决定，</w:t>
                    </w:r>
                  </w:p>
                  <w:p w:rsidR="00684389" w:rsidRDefault="00166B28">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684389" w:rsidRDefault="00166B28">
                    <w:pPr>
                      <w:jc w:val="center"/>
                    </w:pPr>
                    <w:r>
                      <w:rPr>
                        <w:rFonts w:hint="eastAsia"/>
                      </w:rPr>
                      <w:t>依法予以许可，出具相关</w:t>
                    </w:r>
                  </w:p>
                  <w:p w:rsidR="00684389" w:rsidRDefault="00166B2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684389" w:rsidRDefault="00166B28">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684389" w:rsidRDefault="00166B2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684389" w:rsidRDefault="00166B28">
                        <w:r>
                          <w:rPr>
                            <w:rFonts w:hint="eastAsia"/>
                          </w:rPr>
                          <w:t>申请人补充材料</w:t>
                        </w:r>
                      </w:p>
                    </w:txbxContent>
                  </v:textbox>
                </v:shape>
                <v:rect id="Rectangle 22" o:spid="_x0000_s1044" style="position:absolute;left:3915;top:10174;width:4816;height:519" o:preferrelative="t">
                  <v:stroke miterlimit="2"/>
                  <v:textbox>
                    <w:txbxContent>
                      <w:p w:rsidR="00684389" w:rsidRDefault="00166B28">
                        <w:pPr>
                          <w:jc w:val="center"/>
                        </w:pPr>
                        <w:r>
                          <w:rPr>
                            <w:rFonts w:hint="eastAsia"/>
                          </w:rPr>
                          <w:t>依法应予受理，出具行政审批受理单</w:t>
                        </w:r>
                      </w:p>
                      <w:p w:rsidR="00684389" w:rsidRDefault="00684389">
                        <w:pPr>
                          <w:jc w:val="center"/>
                        </w:pPr>
                      </w:p>
                    </w:txbxContent>
                  </v:textbox>
                </v:rect>
                <v:rect id="Rectangle 23" o:spid="_x0000_s1045" style="position:absolute;left:5913;top:6341;width:3190;height:1114" o:preferrelative="t">
                  <v:stroke miterlimit="2"/>
                  <v:textbox>
                    <w:txbxContent>
                      <w:p w:rsidR="00684389" w:rsidRDefault="00166B28">
                        <w:pPr>
                          <w:jc w:val="center"/>
                        </w:pPr>
                        <w:r>
                          <w:rPr>
                            <w:rFonts w:hint="eastAsia"/>
                          </w:rPr>
                          <w:t>材料不全或不符合法定形式的，一次性告知补正材料，</w:t>
                        </w:r>
                      </w:p>
                      <w:p w:rsidR="00684389" w:rsidRDefault="00166B28">
                        <w:pPr>
                          <w:jc w:val="center"/>
                        </w:pPr>
                        <w:r>
                          <w:rPr>
                            <w:rFonts w:hint="eastAsia"/>
                          </w:rPr>
                          <w:t>出具行政审批补正材料通知书</w:t>
                        </w:r>
                      </w:p>
                      <w:p w:rsidR="00684389" w:rsidRDefault="00684389"/>
                    </w:txbxContent>
                  </v:textbox>
                </v:rect>
                <v:shape id="AutoShape 24" o:spid="_x0000_s1046" type="#_x0000_t116" style="position:absolute;left:5913;top:4050;width:2922;height:1710" o:preferrelative="t">
                  <v:stroke miterlimit="2"/>
                  <v:textbox>
                    <w:txbxContent>
                      <w:p w:rsidR="00684389" w:rsidRDefault="00166B28">
                        <w:pPr>
                          <w:jc w:val="center"/>
                        </w:pPr>
                        <w:r>
                          <w:rPr>
                            <w:rFonts w:hint="eastAsia"/>
                          </w:rPr>
                          <w:t>依法不予受理的，作出不予受理决定，出具不予受理行政审批申请通知书</w:t>
                        </w:r>
                      </w:p>
                      <w:p w:rsidR="00684389" w:rsidRDefault="00684389">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66" coordorigin="1195,3000" coordsize="3781,4066">
                    <v:shape id="AutoShape 29" o:spid="_x0000_s1051" type="#_x0000_t32" style="position:absolute;left:2743;top:4172;width:1;height:764" o:connectortype="straight" o:preferrelative="t">
                      <v:stroke endarrow="block" miterlimit="2"/>
                    </v:shape>
                    <v:shape id="AutoShape 30" o:spid="_x0000_s1052" type="#_x0000_t32" style="position:absolute;left:4188;top:5967;width:788;height:26;flip:y" o:connectortype="straight" o:preferrelative="t">
                      <v:stroke miterlimit="2"/>
                    </v:shape>
                    <v:shape id="AutoShape 31" o:spid="_x0000_s1053" type="#_x0000_t4" style="position:absolute;left:1195;top:4919;width:2993;height:2147" o:preferrelative="t">
                      <v:stroke miterlimit="2"/>
                      <v:textbox>
                        <w:txbxContent>
                          <w:p w:rsidR="00684389" w:rsidRDefault="00166B28">
                            <w:r>
                              <w:rPr>
                                <w:rFonts w:hint="eastAsia"/>
                              </w:rPr>
                              <w:t>接件（</w:t>
                            </w:r>
                            <w:r>
                              <w:t>5</w:t>
                            </w:r>
                            <w:r>
                              <w:rPr>
                                <w:rFonts w:hint="eastAsia"/>
                              </w:rPr>
                              <w:t>个工作日）作出是否受理决定</w:t>
                            </w:r>
                          </w:p>
                          <w:p w:rsidR="00684389" w:rsidRDefault="00684389"/>
                        </w:txbxContent>
                      </v:textbox>
                    </v:shape>
                    <v:shape id="AutoShape 32" o:spid="_x0000_s1054" type="#_x0000_t116" style="position:absolute;left:1531;top:3000;width:2724;height:1172" o:preferrelative="t">
                      <v:stroke miterlimit="2"/>
                      <v:textbox>
                        <w:txbxContent>
                          <w:p w:rsidR="00684389" w:rsidRDefault="00166B28">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684389" w:rsidRDefault="00166B28">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684389" w:rsidRDefault="00166B28">
                          <w:r>
                            <w:rPr>
                              <w:rFonts w:hint="eastAsia"/>
                            </w:rPr>
                            <w:t>否</w:t>
                          </w:r>
                        </w:p>
                      </w:txbxContent>
                    </v:textbox>
                  </v:shape>
                </v:group>
                <v:shape id="AutoShape 38" o:spid="_x0000_s1060" type="#_x0000_t32" style="position:absolute;left:8927;top:4886;width:1341;height:0;flip:x" o:connectortype="straight" o:preferrelative="t">
                  <v:stroke endarrow="block" miterlimit="2"/>
                </v:shape>
              </v:group>
            </v:group>
          </v:group>
        </w:pict>
      </w: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center"/>
        <w:rPr>
          <w:rFonts w:ascii="Times New Roman" w:eastAsia="仿宋_GB2312" w:hAnsi="Times New Roman" w:cs="Times New Roman"/>
          <w:sz w:val="30"/>
          <w:szCs w:val="30"/>
        </w:rPr>
      </w:pPr>
    </w:p>
    <w:p w:rsidR="00684389" w:rsidRDefault="00684389">
      <w:pPr>
        <w:ind w:right="300"/>
        <w:jc w:val="left"/>
        <w:rPr>
          <w:rFonts w:ascii="Times New Roman" w:eastAsia="仿宋_GB2312" w:hAnsi="Times New Roman" w:cs="Times New Roman"/>
          <w:sz w:val="30"/>
          <w:szCs w:val="30"/>
        </w:rPr>
      </w:pPr>
    </w:p>
    <w:p w:rsidR="00684389" w:rsidRDefault="00166B28">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684389" w:rsidRDefault="00684389">
      <w:pPr>
        <w:ind w:firstLine="420"/>
        <w:rPr>
          <w:rFonts w:ascii="Times New Roman" w:hAnsi="Times New Roman" w:cs="Times New Roman"/>
        </w:rPr>
      </w:pPr>
    </w:p>
    <w:p w:rsidR="00684389" w:rsidRDefault="00166B28">
      <w:pPr>
        <w:adjustRightInd w:val="0"/>
        <w:snapToGrid w:val="0"/>
        <w:spacing w:line="360"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bookmarkEnd w:id="0"/>
      <w:bookmarkEnd w:id="1"/>
      <w:r>
        <w:rPr>
          <w:rFonts w:ascii="Times New Roman" w:eastAsia="仿宋_GB2312" w:hAnsi="Times New Roman" w:cs="Times New Roman"/>
          <w:kern w:val="0"/>
          <w:sz w:val="30"/>
          <w:szCs w:val="30"/>
        </w:rPr>
        <w:lastRenderedPageBreak/>
        <w:t>附录二</w:t>
      </w:r>
      <w:r>
        <w:rPr>
          <w:rFonts w:ascii="Times New Roman" w:eastAsia="仿宋_GB2312" w:hAnsi="Times New Roman" w:cs="Times New Roman"/>
          <w:kern w:val="0"/>
          <w:sz w:val="30"/>
          <w:szCs w:val="30"/>
        </w:rPr>
        <w:t xml:space="preserve">            </w:t>
      </w:r>
    </w:p>
    <w:p w:rsidR="00684389" w:rsidRDefault="00684389">
      <w:pPr>
        <w:jc w:val="center"/>
        <w:rPr>
          <w:rFonts w:ascii="Times New Roman" w:eastAsia="黑体" w:hAnsi="黑体" w:cs="Times New Roman"/>
          <w:kern w:val="0"/>
          <w:sz w:val="30"/>
          <w:szCs w:val="30"/>
        </w:rPr>
      </w:pPr>
    </w:p>
    <w:p w:rsidR="00684389" w:rsidRDefault="00166B28">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684389" w:rsidRDefault="00684389">
      <w:pPr>
        <w:jc w:val="center"/>
        <w:rPr>
          <w:rFonts w:ascii="Times New Roman" w:eastAsia="黑体" w:hAnsi="Times New Roman" w:cs="Times New Roman"/>
          <w:kern w:val="0"/>
          <w:sz w:val="30"/>
          <w:szCs w:val="30"/>
        </w:rPr>
      </w:pPr>
    </w:p>
    <w:p w:rsidR="00684389" w:rsidRDefault="00166B28">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问：内保外贷被担保事项涉及境外股权收购的，有什么特殊要求？</w:t>
      </w:r>
    </w:p>
    <w:p w:rsidR="00684389" w:rsidRDefault="00166B28">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答：担保事项涉及的境外股权收购需要境外投资主管部门批复的，企业应按照规定先获得境外投资主管部门相应批准。</w:t>
      </w:r>
    </w:p>
    <w:p w:rsidR="00684389" w:rsidRDefault="00166B28">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问：担保责任解除后还需要办理什么手续吗？</w:t>
      </w:r>
    </w:p>
    <w:p w:rsidR="00684389" w:rsidRDefault="00166B28">
      <w:pPr>
        <w:rPr>
          <w:rFonts w:ascii="Times New Roman" w:eastAsia="仿宋_GB2312" w:hAnsi="Times New Roman" w:cs="Times New Roman"/>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答：非银行机构应在还清担保项下债务、担保人付款责任到期或发生担保履约后</w:t>
      </w:r>
      <w:r>
        <w:rPr>
          <w:rFonts w:ascii="Times New Roman" w:eastAsia="仿宋_GB2312" w:hAnsi="Times New Roman" w:cs="Times New Roman"/>
          <w:kern w:val="0"/>
          <w:sz w:val="30"/>
          <w:szCs w:val="30"/>
        </w:rPr>
        <w:t>15</w:t>
      </w:r>
      <w:r>
        <w:rPr>
          <w:rFonts w:ascii="Times New Roman" w:eastAsia="仿宋_GB2312" w:hAnsi="Times New Roman" w:cs="Times New Roman"/>
          <w:kern w:val="0"/>
          <w:sz w:val="30"/>
          <w:szCs w:val="30"/>
        </w:rPr>
        <w:t>个工作日内申请注销相关登记。</w:t>
      </w:r>
    </w:p>
    <w:sectPr w:rsidR="00684389">
      <w:headerReference w:type="even" r:id="rId9"/>
      <w:headerReference w:type="default" r:id="rId10"/>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28" w:rsidRDefault="00166B28">
      <w:r>
        <w:separator/>
      </w:r>
    </w:p>
  </w:endnote>
  <w:endnote w:type="continuationSeparator" w:id="0">
    <w:p w:rsidR="00166B28" w:rsidRDefault="001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89" w:rsidRDefault="00166B28">
    <w:pPr>
      <w:pStyle w:val="a6"/>
      <w:jc w:val="center"/>
    </w:pPr>
    <w:r>
      <w:fldChar w:fldCharType="begin"/>
    </w:r>
    <w:r>
      <w:instrText xml:space="preserve"> PAGE   \* MERGEFORMAT </w:instrText>
    </w:r>
    <w:r>
      <w:fldChar w:fldCharType="separate"/>
    </w:r>
    <w:r w:rsidR="00391F15" w:rsidRPr="00391F15">
      <w:rPr>
        <w:noProof/>
        <w:lang w:val="zh-CN"/>
      </w:rPr>
      <w:t>6</w:t>
    </w:r>
    <w:r>
      <w:rPr>
        <w:lang w:val="zh-CN"/>
      </w:rPr>
      <w:fldChar w:fldCharType="end"/>
    </w:r>
  </w:p>
  <w:p w:rsidR="00684389" w:rsidRDefault="006843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28" w:rsidRDefault="00166B28">
      <w:r>
        <w:separator/>
      </w:r>
    </w:p>
  </w:footnote>
  <w:footnote w:type="continuationSeparator" w:id="0">
    <w:p w:rsidR="00166B28" w:rsidRDefault="0016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89" w:rsidRDefault="0068438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89" w:rsidRDefault="0068438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5DA"/>
    <w:rsid w:val="000B7295"/>
    <w:rsid w:val="000C2554"/>
    <w:rsid w:val="00101E49"/>
    <w:rsid w:val="00166B28"/>
    <w:rsid w:val="001C7367"/>
    <w:rsid w:val="002045FA"/>
    <w:rsid w:val="00290139"/>
    <w:rsid w:val="002B69D4"/>
    <w:rsid w:val="002C6C8D"/>
    <w:rsid w:val="002D3E4C"/>
    <w:rsid w:val="002F285E"/>
    <w:rsid w:val="002F57B9"/>
    <w:rsid w:val="003401F8"/>
    <w:rsid w:val="0038340C"/>
    <w:rsid w:val="00391F15"/>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84389"/>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369B4ADE"/>
    <w:rsid w:val="4659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9"/>
        <o:r id="V:Rule2" type="connector" idref="#AutoShape 11"/>
        <o:r id="V:Rule3" type="connector" idref="#AutoShape 10"/>
        <o:r id="V:Rule4" type="connector" idref="#AutoShape 17"/>
        <o:r id="V:Rule5" type="connector" idref="#AutoShape 15"/>
        <o:r id="V:Rule6" type="connector" idref="#AutoShape 12"/>
        <o:r id="V:Rule7" type="connector" idref="#AutoShape 13"/>
        <o:r id="V:Rule8" type="connector" idref="#AutoShape 27"/>
        <o:r id="V:Rule9" type="connector" idref="#AutoShape 29"/>
        <o:r id="V:Rule10" type="connector" idref="#AutoShape 33"/>
        <o:r id="V:Rule11" type="connector" idref="#AutoShape 30"/>
        <o:r id="V:Rule12" type="connector" idref="#AutoShape 19"/>
        <o:r id="V:Rule13" type="connector" idref="#AutoShape 38"/>
        <o:r id="V:Rule14" type="connector" idref="#AutoShape 26"/>
        <o:r id="V:Rule15" type="connector" idref="#AutoShape 34"/>
        <o:r id="V:Rule16" type="connector" idref="#AutoShape 35"/>
      </o:rules>
    </o:shapelayout>
  </w:shapeDefaults>
  <w:decimalSymbol w:val="."/>
  <w:listSeparator w:val=","/>
  <w15:docId w15:val="{9283A226-A077-4995-AA3F-5F6D15A5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footnote reference"/>
    <w:unhideWhenUsed/>
    <w:qFormat/>
    <w:rPr>
      <w:rFonts w:ascii="Times New Roman" w:hAnsi="Times New Roman" w:cs="Times New Roman"/>
      <w:vertAlign w:val="superscript"/>
    </w:rPr>
  </w:style>
  <w:style w:type="paragraph" w:customStyle="1" w:styleId="10">
    <w:name w:val="列出段落1"/>
    <w:basedOn w:val="a"/>
    <w:uiPriority w:val="99"/>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paragraph" w:customStyle="1" w:styleId="12">
    <w:name w:val="修订1"/>
    <w:hidden/>
    <w:uiPriority w:val="99"/>
    <w:semiHidden/>
    <w:rPr>
      <w:rFonts w:ascii="Calibri" w:hAnsi="Calibri" w:cs="黑体"/>
      <w:kern w:val="2"/>
      <w:sz w:val="21"/>
      <w:szCs w:val="22"/>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rPr>
      <w:sz w:val="18"/>
      <w:szCs w:val="18"/>
    </w:rPr>
  </w:style>
  <w:style w:type="character" w:customStyle="1" w:styleId="Char10">
    <w:name w:val="批注框文本 Char1"/>
    <w:uiPriority w:val="99"/>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uiPriority w:val="99"/>
    <w:rPr>
      <w:rFonts w:ascii="Calibri" w:eastAsia="宋体" w:hAnsi="Calibri" w:cs="Times New Roman"/>
    </w:rPr>
  </w:style>
  <w:style w:type="character" w:customStyle="1" w:styleId="Char4">
    <w:name w:val="脚注文本 Char"/>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13">
    <w:name w:val="明显强调1"/>
    <w:uiPriority w:val="21"/>
    <w:qFormat/>
    <w:rPr>
      <w:b/>
      <w:bCs/>
      <w:i/>
      <w:iCs/>
      <w:color w:val="4F81BD"/>
    </w:rPr>
  </w:style>
  <w:style w:type="character" w:customStyle="1" w:styleId="Char11">
    <w:name w:val="文档结构图 Char1"/>
    <w:uiPriority w:val="99"/>
    <w:semiHidden/>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Words>
  <Characters>2537</Characters>
  <Application>Microsoft Office Word</Application>
  <DocSecurity>0</DocSecurity>
  <Lines>21</Lines>
  <Paragraphs>5</Paragraphs>
  <ScaleCrop>false</ScaleCrop>
  <Company>Lenovo (Beijing) Limited</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                _x0001_</dc:title>
  <dc:creator>朱敏1</dc:creator>
  <cp:lastModifiedBy>孟田</cp:lastModifiedBy>
  <cp:revision>1</cp:revision>
  <cp:lastPrinted>2019-11-29T03:02:00Z</cp:lastPrinted>
  <dcterms:created xsi:type="dcterms:W3CDTF">2020-06-24T08:20:00Z</dcterms:created>
  <dcterms:modified xsi:type="dcterms:W3CDTF">2021-02-04T07:02:00Z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