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6F" w:rsidRDefault="0050606F">
      <w:pPr>
        <w:rPr>
          <w:rFonts w:ascii="Times New Roman" w:eastAsia="仿宋_GB2312" w:hAnsi="Times New Roman" w:cs="Times New Roman"/>
          <w:sz w:val="30"/>
          <w:szCs w:val="30"/>
        </w:rPr>
      </w:pPr>
    </w:p>
    <w:p w:rsidR="0050606F" w:rsidRDefault="0050606F">
      <w:pPr>
        <w:rPr>
          <w:rFonts w:ascii="Times New Roman" w:eastAsia="仿宋_GB2312" w:hAnsi="Times New Roman" w:cs="Times New Roman"/>
          <w:sz w:val="30"/>
          <w:szCs w:val="30"/>
        </w:rPr>
      </w:pPr>
    </w:p>
    <w:p w:rsidR="0050606F" w:rsidRDefault="00C85026">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57006</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8" o:title=""/>
          </v:shape>
        </w:pict>
      </w:r>
    </w:p>
    <w:p w:rsidR="0050606F" w:rsidRDefault="0050606F">
      <w:pPr>
        <w:ind w:right="300"/>
        <w:jc w:val="center"/>
        <w:rPr>
          <w:rFonts w:ascii="Times New Roman" w:eastAsia="黑体" w:hAnsi="Times New Roman" w:cs="Times New Roman"/>
          <w:sz w:val="30"/>
          <w:szCs w:val="30"/>
        </w:rPr>
      </w:pPr>
    </w:p>
    <w:p w:rsidR="0050606F" w:rsidRDefault="0050606F">
      <w:pPr>
        <w:ind w:right="300"/>
        <w:jc w:val="center"/>
        <w:rPr>
          <w:rFonts w:ascii="Times New Roman" w:eastAsia="黑体" w:hAnsi="Times New Roman" w:cs="Times New Roman"/>
          <w:sz w:val="30"/>
          <w:szCs w:val="30"/>
        </w:rPr>
      </w:pPr>
    </w:p>
    <w:p w:rsidR="0050606F" w:rsidRDefault="0050606F">
      <w:pPr>
        <w:ind w:right="300"/>
        <w:jc w:val="center"/>
        <w:rPr>
          <w:rFonts w:ascii="Times New Roman" w:eastAsia="黑体" w:hAnsi="Times New Roman" w:cs="Times New Roman"/>
          <w:sz w:val="30"/>
          <w:szCs w:val="30"/>
        </w:rPr>
      </w:pPr>
    </w:p>
    <w:p w:rsidR="0050606F" w:rsidRDefault="0050606F">
      <w:pPr>
        <w:ind w:right="300"/>
        <w:jc w:val="center"/>
        <w:rPr>
          <w:rFonts w:ascii="Times New Roman" w:eastAsia="黑体" w:hAnsi="Times New Roman" w:cs="Times New Roman"/>
          <w:sz w:val="52"/>
          <w:szCs w:val="52"/>
        </w:rPr>
      </w:pPr>
    </w:p>
    <w:p w:rsidR="0050606F" w:rsidRDefault="00C85026">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境内机构外债、对外或有负债</w:t>
      </w:r>
      <w:r>
        <w:rPr>
          <w:rFonts w:ascii="Times New Roman" w:eastAsia="黑体" w:hAnsi="Times New Roman" w:cs="Times New Roman" w:hint="eastAsia"/>
          <w:sz w:val="52"/>
          <w:szCs w:val="52"/>
        </w:rPr>
        <w:t>、外债转贷款</w:t>
      </w:r>
      <w:r>
        <w:rPr>
          <w:rFonts w:ascii="Times New Roman" w:eastAsia="黑体" w:hAnsi="Times New Roman" w:cs="Times New Roman"/>
          <w:sz w:val="52"/>
          <w:szCs w:val="52"/>
        </w:rPr>
        <w:t>审批、登记及履约核准</w:t>
      </w:r>
      <w:r>
        <w:rPr>
          <w:rFonts w:ascii="Times New Roman" w:eastAsia="黑体" w:hAnsi="Times New Roman" w:cs="Times New Roman"/>
          <w:sz w:val="52"/>
          <w:szCs w:val="52"/>
        </w:rPr>
        <w:t xml:space="preserve">” </w:t>
      </w:r>
    </w:p>
    <w:p w:rsidR="0050606F" w:rsidRDefault="00C85026">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50606F" w:rsidRDefault="0050606F">
      <w:pPr>
        <w:ind w:right="300"/>
        <w:jc w:val="center"/>
        <w:rPr>
          <w:rFonts w:ascii="Times New Roman" w:eastAsia="仿宋_GB2312" w:hAnsi="Times New Roman" w:cs="Times New Roman"/>
          <w:sz w:val="30"/>
          <w:szCs w:val="30"/>
        </w:rPr>
      </w:pPr>
    </w:p>
    <w:p w:rsidR="0050606F" w:rsidRDefault="0050606F">
      <w:pPr>
        <w:ind w:right="300"/>
        <w:jc w:val="center"/>
        <w:rPr>
          <w:rFonts w:ascii="Times New Roman" w:eastAsia="仿宋_GB2312" w:hAnsi="Times New Roman" w:cs="Times New Roman"/>
          <w:sz w:val="30"/>
          <w:szCs w:val="30"/>
        </w:rPr>
      </w:pPr>
    </w:p>
    <w:p w:rsidR="0050606F" w:rsidRDefault="0050606F">
      <w:pPr>
        <w:ind w:right="300"/>
        <w:jc w:val="center"/>
        <w:rPr>
          <w:rFonts w:ascii="Times New Roman" w:eastAsia="仿宋_GB2312" w:hAnsi="Times New Roman" w:cs="Times New Roman"/>
          <w:sz w:val="30"/>
          <w:szCs w:val="30"/>
        </w:rPr>
      </w:pPr>
    </w:p>
    <w:p w:rsidR="0050606F" w:rsidRDefault="0050606F">
      <w:pPr>
        <w:ind w:right="300"/>
        <w:jc w:val="center"/>
        <w:rPr>
          <w:rFonts w:ascii="Times New Roman" w:eastAsia="仿宋_GB2312" w:hAnsi="Times New Roman" w:cs="Times New Roman"/>
          <w:sz w:val="30"/>
          <w:szCs w:val="30"/>
        </w:rPr>
      </w:pPr>
    </w:p>
    <w:p w:rsidR="0050606F" w:rsidRDefault="0050606F">
      <w:pPr>
        <w:ind w:right="300"/>
        <w:jc w:val="center"/>
        <w:rPr>
          <w:rFonts w:ascii="Times New Roman" w:eastAsia="仿宋_GB2312" w:hAnsi="Times New Roman" w:cs="Times New Roman"/>
          <w:sz w:val="30"/>
          <w:szCs w:val="30"/>
        </w:rPr>
      </w:pPr>
    </w:p>
    <w:p w:rsidR="0050606F" w:rsidRDefault="0050606F">
      <w:pPr>
        <w:ind w:right="300"/>
        <w:jc w:val="center"/>
        <w:rPr>
          <w:rFonts w:ascii="Times New Roman" w:eastAsia="仿宋_GB2312" w:hAnsi="Times New Roman" w:cs="Times New Roman"/>
          <w:sz w:val="30"/>
          <w:szCs w:val="30"/>
        </w:rPr>
      </w:pPr>
    </w:p>
    <w:p w:rsidR="0050606F" w:rsidRDefault="00C85026">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50606F" w:rsidRDefault="00C85026">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50606F" w:rsidRDefault="00C85026">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50606F" w:rsidRDefault="00C85026">
      <w:pPr>
        <w:pStyle w:val="1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lastRenderedPageBreak/>
        <w:t xml:space="preserve">    </w:t>
      </w:r>
      <w:r>
        <w:rPr>
          <w:rFonts w:ascii="Times New Roman" w:eastAsia="黑体" w:hAnsi="Times New Roman"/>
          <w:sz w:val="30"/>
          <w:szCs w:val="30"/>
        </w:rPr>
        <w:t>一、项目信息</w:t>
      </w:r>
    </w:p>
    <w:p w:rsidR="0050606F" w:rsidRDefault="00C85026">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项目名称：境内机构外债、对外或有负债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审批、登记及履约核准；</w:t>
      </w:r>
    </w:p>
    <w:p w:rsidR="0050606F" w:rsidRDefault="00C85026">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57006</w:t>
      </w:r>
      <w:r>
        <w:rPr>
          <w:rFonts w:ascii="Times New Roman" w:eastAsia="仿宋_GB2312" w:hAnsi="Times New Roman"/>
          <w:sz w:val="30"/>
          <w:szCs w:val="30"/>
        </w:rPr>
        <w:t>；</w:t>
      </w:r>
    </w:p>
    <w:p w:rsidR="0050606F" w:rsidRDefault="00C85026">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审批类别：行政许可；</w:t>
      </w:r>
    </w:p>
    <w:p w:rsidR="0050606F" w:rsidRDefault="00C85026">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审查类型：前审后批。</w:t>
      </w:r>
    </w:p>
    <w:p w:rsidR="0050606F" w:rsidRDefault="00C85026">
      <w:pPr>
        <w:numPr>
          <w:ilvl w:val="0"/>
          <w:numId w:val="1"/>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适用范围</w:t>
      </w:r>
    </w:p>
    <w:p w:rsidR="0050606F" w:rsidRDefault="00C85026">
      <w:pPr>
        <w:adjustRightInd w:val="0"/>
        <w:snapToGrid w:val="0"/>
        <w:spacing w:line="360" w:lineRule="auto"/>
        <w:rPr>
          <w:rFonts w:ascii="Times New Roman" w:eastAsia="黑体"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境内机构外债、对外或有负债</w:t>
      </w:r>
      <w:r>
        <w:rPr>
          <w:rFonts w:ascii="Times New Roman" w:eastAsia="仿宋_GB2312" w:hAnsi="Times New Roman" w:cs="Times New Roman" w:hint="eastAsia"/>
          <w:sz w:val="30"/>
          <w:szCs w:val="30"/>
        </w:rPr>
        <w:t>、外债转贷款</w:t>
      </w:r>
      <w:r>
        <w:rPr>
          <w:rFonts w:ascii="Times New Roman" w:eastAsia="仿宋_GB2312" w:hAnsi="Times New Roman" w:cs="Times New Roman"/>
          <w:sz w:val="30"/>
          <w:szCs w:val="30"/>
        </w:rPr>
        <w:t>审批、登记及履约核准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50606F" w:rsidRDefault="00C85026">
      <w:pPr>
        <w:numPr>
          <w:ilvl w:val="0"/>
          <w:numId w:val="2"/>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设定依据</w:t>
      </w:r>
    </w:p>
    <w:p w:rsidR="0050606F" w:rsidRDefault="00C8502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号）第十八条：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国家对外债实行规模管理。借用外债应当按照国家有关规定办理，并到外汇管理机关办理外债登记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50606F" w:rsidRDefault="00C8502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号）第十九条：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提供对外担保，应当向外汇管理机关提出申请，由外汇管理机关根据申请人的资产负债等情况</w:t>
      </w:r>
      <w:proofErr w:type="gramStart"/>
      <w:r>
        <w:rPr>
          <w:rFonts w:ascii="Times New Roman" w:eastAsia="仿宋_GB2312" w:hAnsi="Times New Roman" w:cs="Times New Roman"/>
          <w:sz w:val="30"/>
          <w:szCs w:val="30"/>
        </w:rPr>
        <w:t>作出</w:t>
      </w:r>
      <w:proofErr w:type="gramEnd"/>
      <w:r>
        <w:rPr>
          <w:rFonts w:ascii="Times New Roman" w:eastAsia="仿宋_GB2312" w:hAnsi="Times New Roman" w:cs="Times New Roman"/>
          <w:sz w:val="30"/>
          <w:szCs w:val="30"/>
        </w:rPr>
        <w:t>批准或者不批准的决定。申请人签订对外担保合同后，应到外汇管理机关办理对外担保登记。经国务院批准为使用外国政府或者国际金融组织贷款进行转贷提供对外担</w:t>
      </w:r>
      <w:r>
        <w:rPr>
          <w:rFonts w:ascii="Times New Roman" w:eastAsia="仿宋_GB2312" w:hAnsi="Times New Roman" w:cs="Times New Roman"/>
          <w:sz w:val="30"/>
          <w:szCs w:val="30"/>
        </w:rPr>
        <w:t>保的除外。国家规定境内机构的经营范围需经有关主管部门批准的，应当在向外汇管理机关提出申请前办理批准手续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50606F" w:rsidRDefault="00C8502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（三）《国务院对确需保留的行政审批项目设定行政许可的决定》（国务院令第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471</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境内机构外债、外债转贷款、对外担保履约核准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50606F" w:rsidRDefault="00C8502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（四）《国务院对确需保留的行政审批项目设定行政许可的决定》（国务院令第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485</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境内外资金融机构短期外债核准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50606F" w:rsidRDefault="00C8502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（五）《外债管理暂行办法》（国家发展计划委员会、财政部、国家外汇管理局令第</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国家对境内中资机构举借短期国际商业贷</w:t>
      </w:r>
      <w:r>
        <w:rPr>
          <w:rFonts w:ascii="Times New Roman" w:eastAsia="仿宋_GB2312" w:hAnsi="Times New Roman" w:cs="Times New Roman"/>
          <w:sz w:val="30"/>
          <w:szCs w:val="30"/>
        </w:rPr>
        <w:t>款实行余额管理，余额由国家外汇管理局核定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50606F" w:rsidRDefault="00C85026">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w:t>
      </w:r>
      <w:r>
        <w:rPr>
          <w:rFonts w:ascii="Times New Roman" w:eastAsia="黑体" w:hAnsi="Times New Roman" w:cs="Times New Roman" w:hint="eastAsia"/>
          <w:sz w:val="30"/>
          <w:szCs w:val="30"/>
        </w:rPr>
        <w:t>非银行债务人非资金划转类提款、还本付息备案</w:t>
      </w:r>
    </w:p>
    <w:p w:rsidR="0050606F" w:rsidRDefault="00C85026">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50606F" w:rsidRDefault="00C8502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50606F" w:rsidRDefault="00C8502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《外债统计监测暂行规定》（</w:t>
      </w:r>
      <w:r>
        <w:rPr>
          <w:rFonts w:ascii="Times New Roman" w:eastAsia="仿宋_GB2312" w:hAnsi="Times New Roman" w:cs="Times New Roman"/>
          <w:sz w:val="30"/>
          <w:szCs w:val="30"/>
        </w:rPr>
        <w:t>1987</w:t>
      </w:r>
      <w:r>
        <w:rPr>
          <w:rFonts w:ascii="Times New Roman" w:eastAsia="仿宋_GB2312" w:hAnsi="Times New Roman" w:cs="Times New Roman"/>
          <w:sz w:val="30"/>
          <w:szCs w:val="30"/>
        </w:rPr>
        <w:t>年公布）。</w:t>
      </w:r>
    </w:p>
    <w:p w:rsidR="0050606F" w:rsidRDefault="00C8502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《国家外汇管理局关于发布〈外债登记管理办法〉的通知》（</w:t>
      </w:r>
      <w:proofErr w:type="gramStart"/>
      <w:r>
        <w:rPr>
          <w:rFonts w:ascii="Times New Roman" w:eastAsia="仿宋_GB2312" w:hAnsi="Times New Roman" w:cs="Times New Roman"/>
          <w:sz w:val="30"/>
          <w:szCs w:val="30"/>
        </w:rPr>
        <w:t>汇发〔</w:t>
      </w:r>
      <w:r>
        <w:rPr>
          <w:rFonts w:ascii="Times New Roman" w:eastAsia="仿宋_GB2312" w:hAnsi="Times New Roman" w:cs="Times New Roman"/>
          <w:sz w:val="30"/>
          <w:szCs w:val="30"/>
        </w:rPr>
        <w:t>2013</w:t>
      </w:r>
      <w:r>
        <w:rPr>
          <w:rFonts w:ascii="Times New Roman" w:eastAsia="仿宋_GB2312" w:hAnsi="Times New Roman" w:cs="Times New Roman"/>
          <w:sz w:val="30"/>
          <w:szCs w:val="30"/>
        </w:rPr>
        <w:t>〕</w:t>
      </w:r>
      <w:proofErr w:type="gramEnd"/>
      <w:r>
        <w:rPr>
          <w:rFonts w:ascii="Times New Roman" w:eastAsia="仿宋_GB2312" w:hAnsi="Times New Roman" w:cs="Times New Roman"/>
          <w:sz w:val="30"/>
          <w:szCs w:val="30"/>
        </w:rPr>
        <w:t>19</w:t>
      </w:r>
      <w:r>
        <w:rPr>
          <w:rFonts w:ascii="Times New Roman" w:eastAsia="仿宋_GB2312" w:hAnsi="Times New Roman" w:cs="Times New Roman"/>
          <w:sz w:val="30"/>
          <w:szCs w:val="30"/>
        </w:rPr>
        <w:t>号）。</w:t>
      </w:r>
    </w:p>
    <w:p w:rsidR="0050606F" w:rsidRDefault="00C8502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《中国人民银行关于全口径跨境融资宏观审慎管理有关事宜的通知》（银发〔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50606F" w:rsidRDefault="00C85026">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（二）受理机构</w:t>
      </w:r>
    </w:p>
    <w:p w:rsidR="0050606F" w:rsidRDefault="00C8502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50606F" w:rsidRDefault="00C85026">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（三）决定机构</w:t>
      </w:r>
    </w:p>
    <w:p w:rsidR="0050606F" w:rsidRDefault="00C8502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50606F" w:rsidRDefault="00C8502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50606F" w:rsidRDefault="00C85026">
      <w:pPr>
        <w:adjustRightInd w:val="0"/>
        <w:snapToGrid w:val="0"/>
        <w:spacing w:line="360" w:lineRule="auto"/>
        <w:ind w:firstLineChars="200" w:firstLine="600"/>
        <w:rPr>
          <w:rFonts w:ascii="Times New Roman" w:eastAsia="仿宋_GB2312" w:hAnsi="Times New Roman" w:cs="Times New Roman"/>
          <w:sz w:val="30"/>
          <w:szCs w:val="30"/>
        </w:rPr>
      </w:pPr>
      <w:proofErr w:type="gramStart"/>
      <w:r>
        <w:rPr>
          <w:rFonts w:ascii="Times New Roman" w:eastAsia="仿宋_GB2312" w:hAnsi="仿宋_GB2312" w:cs="Times New Roman"/>
          <w:sz w:val="30"/>
          <w:szCs w:val="30"/>
        </w:rPr>
        <w:t>无数量</w:t>
      </w:r>
      <w:proofErr w:type="gramEnd"/>
      <w:r>
        <w:rPr>
          <w:rFonts w:ascii="Times New Roman" w:eastAsia="仿宋_GB2312" w:hAnsi="仿宋_GB2312" w:cs="Times New Roman"/>
          <w:sz w:val="30"/>
          <w:szCs w:val="30"/>
        </w:rPr>
        <w:t>限制，按全口径跨境融资宏观审慎或</w:t>
      </w:r>
      <w:r>
        <w:rPr>
          <w:rFonts w:ascii="Times New Roman" w:eastAsia="仿宋_GB2312" w:hAnsi="Times New Roman" w:cs="Times New Roman"/>
          <w:sz w:val="30"/>
          <w:szCs w:val="30"/>
        </w:rPr>
        <w:t>“</w:t>
      </w:r>
      <w:r>
        <w:rPr>
          <w:rFonts w:ascii="Times New Roman" w:eastAsia="仿宋_GB2312" w:hAnsi="仿宋_GB2312" w:cs="Times New Roman"/>
          <w:sz w:val="30"/>
          <w:szCs w:val="30"/>
        </w:rPr>
        <w:t>投注差</w:t>
      </w:r>
      <w:r>
        <w:rPr>
          <w:rFonts w:ascii="Times New Roman" w:eastAsia="仿宋_GB2312" w:hAnsi="Times New Roman" w:cs="Times New Roman"/>
          <w:sz w:val="30"/>
          <w:szCs w:val="30"/>
        </w:rPr>
        <w:t>”</w:t>
      </w:r>
      <w:r>
        <w:rPr>
          <w:rFonts w:ascii="Times New Roman" w:eastAsia="仿宋_GB2312" w:hAnsi="仿宋_GB2312" w:cs="Times New Roman"/>
          <w:sz w:val="30"/>
          <w:szCs w:val="30"/>
        </w:rPr>
        <w:t>模式管理。</w:t>
      </w:r>
    </w:p>
    <w:p w:rsidR="0050606F" w:rsidRDefault="00C85026">
      <w:pPr>
        <w:adjustRightInd w:val="0"/>
        <w:snapToGrid w:val="0"/>
        <w:spacing w:line="360" w:lineRule="auto"/>
        <w:outlineLvl w:val="0"/>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（五）办事条件</w:t>
      </w:r>
    </w:p>
    <w:p w:rsidR="0050606F" w:rsidRDefault="00C85026">
      <w:pPr>
        <w:widowControl/>
        <w:numPr>
          <w:ilvl w:val="0"/>
          <w:numId w:val="3"/>
        </w:num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非资金划转类提款是指非银行债务人外债提款额或外债本金余额发生变动，但未通过境内银行办理收款从而无法向资本项目信息系统反馈外债提款信息的情形。</w:t>
      </w:r>
    </w:p>
    <w:p w:rsidR="0050606F" w:rsidRDefault="00C85026">
      <w:pPr>
        <w:widowControl/>
        <w:numPr>
          <w:ilvl w:val="0"/>
          <w:numId w:val="3"/>
        </w:num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非资金划转类还本付息是指非银行债务人外债还款额或外债本金余额发生变动，但未通过境内银行办理付款从而无法向资本项目信息系统反馈外债还款信息的情形。</w:t>
      </w:r>
    </w:p>
    <w:p w:rsidR="0050606F" w:rsidRDefault="00C85026">
      <w:pPr>
        <w:pStyle w:val="10"/>
        <w:numPr>
          <w:ilvl w:val="0"/>
          <w:numId w:val="3"/>
        </w:numPr>
        <w:adjustRightInd w:val="0"/>
        <w:snapToGrid w:val="0"/>
        <w:spacing w:line="360" w:lineRule="auto"/>
        <w:ind w:firstLineChars="0"/>
        <w:rPr>
          <w:rFonts w:ascii="Times New Roman" w:eastAsia="仿宋_GB2312" w:hAnsi="Times New Roman" w:cs="Times New Roman"/>
          <w:sz w:val="30"/>
          <w:szCs w:val="30"/>
        </w:rPr>
      </w:pPr>
      <w:r>
        <w:rPr>
          <w:rFonts w:ascii="Times New Roman" w:eastAsia="仿宋_GB2312" w:hAnsi="Times New Roman" w:cs="Times New Roman"/>
          <w:sz w:val="30"/>
          <w:szCs w:val="30"/>
        </w:rPr>
        <w:t>非银行债务人发生非资金划转类提款交易和非资金划转类还本付息交易的，应在提款发生后</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个工作日内，到所在地外汇局办理逐笔提款备案。</w:t>
      </w:r>
    </w:p>
    <w:p w:rsidR="0050606F" w:rsidRDefault="00C85026">
      <w:pPr>
        <w:pStyle w:val="10"/>
        <w:numPr>
          <w:ilvl w:val="0"/>
          <w:numId w:val="3"/>
        </w:numPr>
        <w:adjustRightInd w:val="0"/>
        <w:snapToGrid w:val="0"/>
        <w:spacing w:line="360" w:lineRule="auto"/>
        <w:ind w:firstLine="600"/>
        <w:outlineLvl w:val="0"/>
        <w:rPr>
          <w:rFonts w:ascii="Times New Roman" w:eastAsia="黑体" w:hAnsi="Times New Roman" w:cs="Times New Roman"/>
          <w:sz w:val="30"/>
          <w:szCs w:val="30"/>
        </w:rPr>
      </w:pPr>
      <w:r>
        <w:rPr>
          <w:rFonts w:ascii="Times New Roman" w:eastAsia="仿宋_GB2312" w:hAnsi="Times New Roman" w:cs="Times New Roman"/>
          <w:sz w:val="30"/>
          <w:szCs w:val="30"/>
        </w:rPr>
        <w:t>禁止性要求：如符合上述条件，不存在不予许可的情况。</w:t>
      </w:r>
    </w:p>
    <w:p w:rsidR="0050606F" w:rsidRDefault="00C85026">
      <w:pPr>
        <w:pStyle w:val="10"/>
        <w:adjustRightInd w:val="0"/>
        <w:snapToGrid w:val="0"/>
        <w:spacing w:line="360" w:lineRule="auto"/>
        <w:ind w:left="600" w:firstLineChars="0" w:firstLine="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50606F" w:rsidRDefault="00C85026">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w:t>
      </w:r>
      <w:r>
        <w:rPr>
          <w:rFonts w:ascii="Times New Roman" w:eastAsia="仿宋_GB2312" w:hAnsi="Times New Roman" w:cs="Times New Roman"/>
          <w:kern w:val="0"/>
          <w:sz w:val="30"/>
          <w:szCs w:val="30"/>
        </w:rPr>
        <w:t>非银行债务人办理非资金划转类提款备案申请材料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254"/>
        <w:gridCol w:w="992"/>
        <w:gridCol w:w="567"/>
        <w:gridCol w:w="851"/>
        <w:gridCol w:w="567"/>
        <w:gridCol w:w="759"/>
      </w:tblGrid>
      <w:tr w:rsidR="0050606F">
        <w:tc>
          <w:tcPr>
            <w:tcW w:w="532" w:type="dxa"/>
            <w:vAlign w:val="center"/>
          </w:tcPr>
          <w:p w:rsidR="0050606F" w:rsidRDefault="00C8502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54" w:type="dxa"/>
            <w:vAlign w:val="center"/>
          </w:tcPr>
          <w:p w:rsidR="0050606F" w:rsidRDefault="00C8502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50606F" w:rsidRDefault="00C8502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50606F" w:rsidRDefault="00C8502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50606F" w:rsidRDefault="00C8502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50606F" w:rsidRDefault="00C8502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50606F" w:rsidRDefault="00C8502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50606F">
        <w:tc>
          <w:tcPr>
            <w:tcW w:w="532" w:type="dxa"/>
            <w:vAlign w:val="center"/>
          </w:tcPr>
          <w:p w:rsidR="0050606F" w:rsidRDefault="00C8502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54" w:type="dxa"/>
            <w:vAlign w:val="center"/>
          </w:tcPr>
          <w:p w:rsidR="0050606F" w:rsidRDefault="00C85026">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书面申请</w:t>
            </w:r>
          </w:p>
        </w:tc>
        <w:tc>
          <w:tcPr>
            <w:tcW w:w="992" w:type="dxa"/>
            <w:vAlign w:val="center"/>
          </w:tcPr>
          <w:p w:rsidR="0050606F" w:rsidRDefault="00C85026">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567" w:type="dxa"/>
            <w:vAlign w:val="center"/>
          </w:tcPr>
          <w:p w:rsidR="0050606F" w:rsidRDefault="00C8502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50606F" w:rsidRDefault="00C8502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50606F" w:rsidRDefault="0050606F">
            <w:pPr>
              <w:keepNext/>
              <w:keepLines/>
              <w:spacing w:before="340" w:after="330" w:line="578" w:lineRule="auto"/>
              <w:jc w:val="left"/>
              <w:rPr>
                <w:rFonts w:ascii="Times New Roman" w:eastAsia="仿宋_GB2312" w:hAnsi="Times New Roman" w:cs="Times New Roman"/>
                <w:sz w:val="24"/>
                <w:szCs w:val="24"/>
              </w:rPr>
            </w:pPr>
          </w:p>
        </w:tc>
        <w:tc>
          <w:tcPr>
            <w:tcW w:w="759" w:type="dxa"/>
            <w:vAlign w:val="center"/>
          </w:tcPr>
          <w:p w:rsidR="0050606F" w:rsidRDefault="0050606F">
            <w:pPr>
              <w:jc w:val="left"/>
              <w:rPr>
                <w:rFonts w:ascii="Times New Roman" w:eastAsia="仿宋_GB2312" w:hAnsi="Times New Roman" w:cs="Times New Roman"/>
                <w:sz w:val="24"/>
                <w:szCs w:val="24"/>
              </w:rPr>
            </w:pPr>
          </w:p>
        </w:tc>
      </w:tr>
      <w:tr w:rsidR="0050606F">
        <w:trPr>
          <w:trHeight w:val="378"/>
        </w:trPr>
        <w:tc>
          <w:tcPr>
            <w:tcW w:w="532" w:type="dxa"/>
            <w:vAlign w:val="center"/>
          </w:tcPr>
          <w:p w:rsidR="0050606F" w:rsidRDefault="00C8502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254" w:type="dxa"/>
            <w:vAlign w:val="center"/>
          </w:tcPr>
          <w:p w:rsidR="0050606F" w:rsidRDefault="00C85026">
            <w:pPr>
              <w:jc w:val="left"/>
              <w:rPr>
                <w:rFonts w:ascii="Times New Roman" w:eastAsia="仿宋_GB2312" w:hAnsi="Times New Roman" w:cs="Times New Roman"/>
                <w:sz w:val="24"/>
                <w:szCs w:val="24"/>
              </w:rPr>
            </w:pPr>
            <w:r>
              <w:rPr>
                <w:rFonts w:ascii="Times New Roman" w:eastAsia="仿宋_GB2312" w:hAnsi="Times New Roman" w:cs="Times New Roman"/>
                <w:color w:val="000000"/>
                <w:kern w:val="0"/>
                <w:sz w:val="24"/>
                <w:szCs w:val="24"/>
              </w:rPr>
              <w:t>非银行债务人非资金划转类提款真实性证明材料</w:t>
            </w:r>
          </w:p>
        </w:tc>
        <w:tc>
          <w:tcPr>
            <w:tcW w:w="992" w:type="dxa"/>
            <w:vAlign w:val="center"/>
          </w:tcPr>
          <w:p w:rsidR="0050606F" w:rsidRDefault="00C8502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50606F" w:rsidRDefault="00C8502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50606F" w:rsidRDefault="00C8502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50606F" w:rsidRDefault="0050606F">
            <w:pPr>
              <w:jc w:val="left"/>
              <w:rPr>
                <w:rFonts w:ascii="Times New Roman" w:eastAsia="仿宋_GB2312" w:hAnsi="Times New Roman" w:cs="Times New Roman"/>
                <w:sz w:val="24"/>
                <w:szCs w:val="24"/>
              </w:rPr>
            </w:pPr>
          </w:p>
        </w:tc>
        <w:tc>
          <w:tcPr>
            <w:tcW w:w="759" w:type="dxa"/>
            <w:vAlign w:val="center"/>
          </w:tcPr>
          <w:p w:rsidR="0050606F" w:rsidRDefault="00C85026">
            <w:pPr>
              <w:jc w:val="lef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验</w:t>
            </w:r>
            <w:proofErr w:type="gramEnd"/>
            <w:r>
              <w:rPr>
                <w:rFonts w:ascii="Times New Roman" w:eastAsia="仿宋_GB2312" w:hAnsi="Times New Roman" w:cs="Times New Roman"/>
                <w:sz w:val="24"/>
                <w:szCs w:val="24"/>
              </w:rPr>
              <w:t>原件，留存加盖公章的复印件</w:t>
            </w:r>
          </w:p>
        </w:tc>
      </w:tr>
    </w:tbl>
    <w:p w:rsidR="0050606F" w:rsidRDefault="00C85026">
      <w:pPr>
        <w:widowControl/>
        <w:ind w:firstLineChars="100" w:firstLine="3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非银行债务人办理非资金划转类还本付息备案申请材料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702"/>
        <w:gridCol w:w="751"/>
        <w:gridCol w:w="487"/>
        <w:gridCol w:w="560"/>
        <w:gridCol w:w="487"/>
        <w:gridCol w:w="1049"/>
      </w:tblGrid>
      <w:tr w:rsidR="0050606F">
        <w:tc>
          <w:tcPr>
            <w:tcW w:w="486" w:type="dxa"/>
            <w:vAlign w:val="center"/>
          </w:tcPr>
          <w:p w:rsidR="0050606F" w:rsidRDefault="00C8502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702" w:type="dxa"/>
            <w:vAlign w:val="center"/>
          </w:tcPr>
          <w:p w:rsidR="0050606F" w:rsidRDefault="00C8502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751" w:type="dxa"/>
            <w:vAlign w:val="center"/>
          </w:tcPr>
          <w:p w:rsidR="0050606F" w:rsidRDefault="00C8502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87" w:type="dxa"/>
            <w:vAlign w:val="center"/>
          </w:tcPr>
          <w:p w:rsidR="0050606F" w:rsidRDefault="00C8502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560" w:type="dxa"/>
            <w:vAlign w:val="center"/>
          </w:tcPr>
          <w:p w:rsidR="0050606F" w:rsidRDefault="00C8502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87" w:type="dxa"/>
            <w:vAlign w:val="center"/>
          </w:tcPr>
          <w:p w:rsidR="0050606F" w:rsidRDefault="00C8502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49" w:type="dxa"/>
            <w:vAlign w:val="center"/>
          </w:tcPr>
          <w:p w:rsidR="0050606F" w:rsidRDefault="00C8502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50606F">
        <w:trPr>
          <w:trHeight w:val="969"/>
        </w:trPr>
        <w:tc>
          <w:tcPr>
            <w:tcW w:w="486" w:type="dxa"/>
            <w:tcBorders>
              <w:bottom w:val="single" w:sz="4" w:space="0" w:color="auto"/>
            </w:tcBorders>
            <w:vAlign w:val="center"/>
          </w:tcPr>
          <w:p w:rsidR="0050606F" w:rsidRDefault="00C8502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4702" w:type="dxa"/>
            <w:vAlign w:val="center"/>
          </w:tcPr>
          <w:p w:rsidR="0050606F" w:rsidRDefault="00C8502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sz w:val="24"/>
                <w:szCs w:val="24"/>
              </w:rPr>
              <w:t xml:space="preserve"> </w:t>
            </w:r>
          </w:p>
        </w:tc>
        <w:tc>
          <w:tcPr>
            <w:tcW w:w="751" w:type="dxa"/>
            <w:vAlign w:val="center"/>
          </w:tcPr>
          <w:p w:rsidR="0050606F" w:rsidRDefault="00C85026">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487" w:type="dxa"/>
            <w:vAlign w:val="center"/>
          </w:tcPr>
          <w:p w:rsidR="0050606F" w:rsidRDefault="00C8502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60" w:type="dxa"/>
            <w:vAlign w:val="center"/>
          </w:tcPr>
          <w:p w:rsidR="0050606F" w:rsidRDefault="00C8502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87" w:type="dxa"/>
            <w:vAlign w:val="center"/>
          </w:tcPr>
          <w:p w:rsidR="0050606F" w:rsidRDefault="0050606F">
            <w:pPr>
              <w:keepNext/>
              <w:keepLines/>
              <w:spacing w:before="340" w:after="330" w:line="578" w:lineRule="auto"/>
              <w:jc w:val="left"/>
              <w:rPr>
                <w:rFonts w:ascii="Times New Roman" w:eastAsia="仿宋_GB2312" w:hAnsi="Times New Roman" w:cs="Times New Roman"/>
                <w:sz w:val="24"/>
                <w:szCs w:val="24"/>
              </w:rPr>
            </w:pPr>
          </w:p>
        </w:tc>
        <w:tc>
          <w:tcPr>
            <w:tcW w:w="1049" w:type="dxa"/>
            <w:vAlign w:val="center"/>
          </w:tcPr>
          <w:p w:rsidR="0050606F" w:rsidRDefault="0050606F">
            <w:pPr>
              <w:jc w:val="left"/>
              <w:rPr>
                <w:rFonts w:ascii="Times New Roman" w:eastAsia="仿宋_GB2312" w:hAnsi="Times New Roman" w:cs="Times New Roman"/>
                <w:sz w:val="24"/>
                <w:szCs w:val="24"/>
              </w:rPr>
            </w:pPr>
          </w:p>
        </w:tc>
      </w:tr>
      <w:tr w:rsidR="0050606F">
        <w:trPr>
          <w:trHeight w:val="378"/>
        </w:trPr>
        <w:tc>
          <w:tcPr>
            <w:tcW w:w="486" w:type="dxa"/>
            <w:vAlign w:val="center"/>
          </w:tcPr>
          <w:p w:rsidR="0050606F" w:rsidRDefault="00C8502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702" w:type="dxa"/>
            <w:vAlign w:val="center"/>
          </w:tcPr>
          <w:p w:rsidR="0050606F" w:rsidRDefault="00C85026">
            <w:pPr>
              <w:jc w:val="left"/>
              <w:rPr>
                <w:rFonts w:ascii="Times New Roman" w:eastAsia="仿宋_GB2312" w:hAnsi="Times New Roman" w:cs="Times New Roman"/>
                <w:kern w:val="0"/>
                <w:sz w:val="24"/>
                <w:szCs w:val="24"/>
              </w:rPr>
            </w:pPr>
            <w:r>
              <w:rPr>
                <w:rFonts w:ascii="Times New Roman" w:eastAsia="仿宋_GB2312" w:hAnsi="Times New Roman" w:cs="Times New Roman"/>
                <w:color w:val="000000"/>
                <w:kern w:val="0"/>
                <w:sz w:val="24"/>
                <w:szCs w:val="24"/>
              </w:rPr>
              <w:t>非银行债务人非资金划转类还本付息真实性证明材料</w:t>
            </w:r>
          </w:p>
        </w:tc>
        <w:tc>
          <w:tcPr>
            <w:tcW w:w="751" w:type="dxa"/>
            <w:vAlign w:val="center"/>
          </w:tcPr>
          <w:p w:rsidR="0050606F" w:rsidRDefault="00C8502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87" w:type="dxa"/>
            <w:vAlign w:val="center"/>
          </w:tcPr>
          <w:p w:rsidR="0050606F" w:rsidRDefault="00C8502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60" w:type="dxa"/>
            <w:vAlign w:val="center"/>
          </w:tcPr>
          <w:p w:rsidR="0050606F" w:rsidRDefault="00C8502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87" w:type="dxa"/>
            <w:vAlign w:val="center"/>
          </w:tcPr>
          <w:p w:rsidR="0050606F" w:rsidRDefault="0050606F">
            <w:pPr>
              <w:jc w:val="left"/>
              <w:rPr>
                <w:rFonts w:ascii="Times New Roman" w:eastAsia="仿宋_GB2312" w:hAnsi="Times New Roman" w:cs="Times New Roman"/>
                <w:sz w:val="24"/>
                <w:szCs w:val="24"/>
              </w:rPr>
            </w:pPr>
          </w:p>
        </w:tc>
        <w:tc>
          <w:tcPr>
            <w:tcW w:w="1049" w:type="dxa"/>
            <w:vAlign w:val="center"/>
          </w:tcPr>
          <w:p w:rsidR="0050606F" w:rsidRDefault="00C85026">
            <w:pPr>
              <w:adjustRightInd w:val="0"/>
              <w:snapToGrid w:val="0"/>
              <w:jc w:val="lef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验</w:t>
            </w:r>
            <w:proofErr w:type="gramEnd"/>
            <w:r>
              <w:rPr>
                <w:rFonts w:ascii="Times New Roman" w:eastAsia="仿宋_GB2312" w:hAnsi="Times New Roman" w:cs="Times New Roman"/>
                <w:sz w:val="24"/>
                <w:szCs w:val="24"/>
              </w:rPr>
              <w:t>原件，留存加盖公章的复印件</w:t>
            </w:r>
          </w:p>
        </w:tc>
      </w:tr>
    </w:tbl>
    <w:p w:rsidR="0050606F" w:rsidRDefault="0050606F">
      <w:pPr>
        <w:spacing w:line="360" w:lineRule="auto"/>
        <w:ind w:firstLineChars="200" w:firstLine="600"/>
        <w:outlineLvl w:val="0"/>
        <w:rPr>
          <w:rFonts w:ascii="Times New Roman" w:eastAsia="黑体" w:hAnsi="Times New Roman" w:cs="Times New Roman"/>
          <w:sz w:val="30"/>
          <w:szCs w:val="30"/>
        </w:rPr>
      </w:pPr>
    </w:p>
    <w:p w:rsidR="0050606F" w:rsidRDefault="00C85026">
      <w:pPr>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50606F" w:rsidRDefault="00C85026">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50606F" w:rsidRDefault="00C85026">
      <w:pPr>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50606F" w:rsidRDefault="00C85026">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50606F" w:rsidRDefault="00C85026">
      <w:pPr>
        <w:spacing w:line="360" w:lineRule="auto"/>
        <w:ind w:firstLineChars="300" w:firstLine="9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50606F" w:rsidRDefault="00C85026">
      <w:pPr>
        <w:spacing w:line="360" w:lineRule="auto"/>
        <w:ind w:firstLineChars="300" w:firstLine="9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50606F" w:rsidRDefault="00C85026">
      <w:pPr>
        <w:spacing w:line="360" w:lineRule="auto"/>
        <w:ind w:firstLineChars="300" w:firstLine="9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50606F" w:rsidRDefault="00C85026">
      <w:pPr>
        <w:spacing w:line="360" w:lineRule="auto"/>
        <w:ind w:firstLineChars="300" w:firstLine="9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50606F" w:rsidRDefault="00C85026">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50606F" w:rsidRDefault="00C85026">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50606F" w:rsidRDefault="00C85026">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50606F" w:rsidRDefault="00C8502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50606F" w:rsidRDefault="00C85026">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（十一）审批收费依据及标准</w:t>
      </w:r>
    </w:p>
    <w:p w:rsidR="0050606F" w:rsidRDefault="00C85026">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不收费。</w:t>
      </w:r>
    </w:p>
    <w:p w:rsidR="0050606F" w:rsidRDefault="00C85026">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（十二）审批结果</w:t>
      </w:r>
    </w:p>
    <w:p w:rsidR="0050606F" w:rsidRDefault="00C85026">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50606F" w:rsidRDefault="00C85026">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50606F" w:rsidRDefault="00C85026">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50606F" w:rsidRDefault="00C85026">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50606F" w:rsidRDefault="00C85026">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w:t>
      </w:r>
      <w:proofErr w:type="gramStart"/>
      <w:r>
        <w:rPr>
          <w:rFonts w:ascii="Times New Roman" w:eastAsia="仿宋_GB2312" w:hAnsi="Times New Roman" w:cs="Times New Roman"/>
          <w:sz w:val="30"/>
        </w:rPr>
        <w:t>规</w:t>
      </w:r>
      <w:proofErr w:type="gramEnd"/>
      <w:r>
        <w:rPr>
          <w:rFonts w:ascii="Times New Roman" w:eastAsia="仿宋_GB2312" w:hAnsi="Times New Roman" w:cs="Times New Roman"/>
          <w:sz w:val="30"/>
        </w:rPr>
        <w:t>办理相关业务，重要信息发生变更按规定及时报备，全面、及时、准确报送相关数据信息等。</w:t>
      </w:r>
    </w:p>
    <w:p w:rsidR="0050606F" w:rsidRDefault="00C85026">
      <w:pPr>
        <w:adjustRightInd w:val="0"/>
        <w:snapToGrid w:val="0"/>
        <w:spacing w:line="360" w:lineRule="auto"/>
        <w:ind w:firstLine="600"/>
        <w:rPr>
          <w:rFonts w:ascii="Times New Roman" w:eastAsia="黑体" w:hAnsi="Times New Roman" w:cs="Times New Roman"/>
          <w:sz w:val="30"/>
        </w:rPr>
      </w:pPr>
      <w:r>
        <w:rPr>
          <w:rFonts w:ascii="Times New Roman" w:eastAsia="黑体" w:hAnsi="Times New Roman" w:cs="Times New Roman"/>
          <w:sz w:val="30"/>
        </w:rPr>
        <w:t>（十五）咨询途径、监督和投诉、办公地址和时间、公开查询方式等</w:t>
      </w:r>
    </w:p>
    <w:p w:rsidR="0050606F" w:rsidRDefault="00302875">
      <w:pPr>
        <w:adjustRightInd w:val="0"/>
        <w:snapToGrid w:val="0"/>
        <w:spacing w:line="360" w:lineRule="auto"/>
        <w:ind w:firstLine="600"/>
        <w:rPr>
          <w:rFonts w:ascii="Times New Roman" w:eastAsia="仿宋_GB2312" w:hAnsi="Times New Roman" w:cs="Times New Roman"/>
          <w:sz w:val="30"/>
          <w:szCs w:val="30"/>
        </w:rPr>
      </w:pPr>
      <w:bookmarkStart w:id="0" w:name="_GoBack"/>
      <w:bookmarkEnd w:id="0"/>
      <w:r w:rsidRPr="00302875">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302875">
        <w:rPr>
          <w:rFonts w:ascii="Times New Roman" w:eastAsia="仿宋_GB2312" w:hAnsi="Times New Roman" w:cs="Times New Roman" w:hint="eastAsia"/>
          <w:sz w:val="30"/>
          <w:szCs w:val="30"/>
        </w:rPr>
        <w:t>www.safe.gov.cn</w:t>
      </w:r>
      <w:r w:rsidRPr="00302875">
        <w:rPr>
          <w:rFonts w:ascii="Times New Roman" w:eastAsia="仿宋_GB2312" w:hAnsi="Times New Roman" w:cs="Times New Roman" w:hint="eastAsia"/>
          <w:sz w:val="30"/>
          <w:szCs w:val="30"/>
        </w:rPr>
        <w:t>链接至江苏分局“业务指南”栏目进行，也可通过栏目中公布的电话进行。</w:t>
      </w:r>
    </w:p>
    <w:p w:rsidR="0050606F" w:rsidRDefault="0050606F">
      <w:pPr>
        <w:ind w:right="300"/>
        <w:rPr>
          <w:rFonts w:ascii="Times New Roman" w:eastAsia="仿宋_GB2312" w:hAnsi="Times New Roman" w:cs="Times New Roman"/>
          <w:sz w:val="30"/>
          <w:szCs w:val="30"/>
        </w:rPr>
      </w:pPr>
    </w:p>
    <w:p w:rsidR="0050606F" w:rsidRDefault="00C85026">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附录一</w:t>
      </w:r>
    </w:p>
    <w:p w:rsidR="0050606F" w:rsidRDefault="00C85026">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50606F" w:rsidRDefault="00C85026">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组合 170" o:spid="_x0000_s1027" style="position:absolute;left:0;text-align:left;margin-left:-18pt;margin-top:-.95pt;width:453.65pt;height:586.05pt;z-index:1" coordorigin="1195,3000" coordsize="9073,11721">
            <v:rect id="Rectangle 6" o:spid="_x0000_s1028" style="position:absolute;left:4255;top:11319;width:2985;height:534" o:preferrelative="t">
              <v:stroke miterlimit="2"/>
              <v:textbox>
                <w:txbxContent>
                  <w:p w:rsidR="0050606F" w:rsidRDefault="00C85026">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29" type="#_x0000_t116" style="position:absolute;left:5767;top:13681;width:3675;height:1037" o:preferrelative="t">
              <v:stroke miterlimit="2"/>
              <v:textbox>
                <w:txbxContent>
                  <w:p w:rsidR="0050606F" w:rsidRDefault="00C85026">
                    <w:pPr>
                      <w:jc w:val="center"/>
                    </w:pPr>
                    <w:r>
                      <w:rPr>
                        <w:rFonts w:hint="eastAsia"/>
                      </w:rPr>
                      <w:t>依法</w:t>
                    </w:r>
                    <w:proofErr w:type="gramStart"/>
                    <w:r>
                      <w:rPr>
                        <w:rFonts w:hint="eastAsia"/>
                      </w:rPr>
                      <w:t>作出</w:t>
                    </w:r>
                    <w:proofErr w:type="gramEnd"/>
                    <w:r>
                      <w:rPr>
                        <w:rFonts w:hint="eastAsia"/>
                      </w:rPr>
                      <w:t>不予许可决定，</w:t>
                    </w:r>
                  </w:p>
                  <w:p w:rsidR="0050606F" w:rsidRDefault="00C85026">
                    <w:pPr>
                      <w:jc w:val="center"/>
                    </w:pPr>
                    <w:r>
                      <w:rPr>
                        <w:rFonts w:hint="eastAsia"/>
                      </w:rPr>
                      <w:t>并送达</w:t>
                    </w:r>
                  </w:p>
                </w:txbxContent>
              </v:textbox>
            </v:shape>
            <v:shape id="AutoShape 8" o:spid="_x0000_s1030" type="#_x0000_t116" style="position:absolute;left:2042;top:13663;width:3461;height:1058" o:preferrelative="t">
              <v:stroke miterlimit="2"/>
              <v:textbox>
                <w:txbxContent>
                  <w:p w:rsidR="0050606F" w:rsidRDefault="00C85026">
                    <w:pPr>
                      <w:jc w:val="center"/>
                    </w:pPr>
                    <w:r>
                      <w:rPr>
                        <w:rFonts w:hint="eastAsia"/>
                      </w:rPr>
                      <w:t>依法予以许可，出具相关</w:t>
                    </w:r>
                  </w:p>
                  <w:p w:rsidR="0050606F" w:rsidRDefault="00C85026">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31" type="#_x0000_t32" style="position:absolute;left:5729;top:10693;width:1;height:626" o:connectortype="straight" o:preferrelative="t">
              <v:stroke endarrow="block" miterlimit="2"/>
            </v:shape>
            <v:shape id="AutoShape 10" o:spid="_x0000_s1032" type="#_x0000_t32" style="position:absolute;left:7678;top:12568;width:17;height:1095" o:connectortype="straight" o:preferrelative="t">
              <v:stroke endarrow="block" miterlimit="2"/>
            </v:shape>
            <v:shape id="AutoShape 11" o:spid="_x0000_s1033" type="#_x0000_t32" style="position:absolute;left:3705;top:12568;width:1;height:1035" o:connectortype="straight" o:preferrelative="t">
              <v:stroke endarrow="block" miterlimit="2"/>
            </v:shape>
            <v:shape id="AutoShape 12" o:spid="_x0000_s1034" type="#_x0000_t32" style="position:absolute;left:5730;top:11853;width:1;height:715" o:connectortype="straight" o:preferrelative="t">
              <v:stroke miterlimit="2"/>
            </v:shape>
            <v:shape id="AutoShape 13" o:spid="_x0000_s1035" type="#_x0000_t32" style="position:absolute;left:3706;top:12568;width:3972;height:0" o:connectortype="straight" o:preferrelative="t">
              <v:stroke miterlimit="2"/>
            </v:shape>
            <v:group id="Group 14" o:spid="_x0000_s1036" style="position:absolute;left:1195;top:3000;width:9073;height:7693" coordorigin="1195,3000" coordsize="9073,7693">
              <v:shape id="AutoShape 15" o:spid="_x0000_s1037" type="#_x0000_t32" style="position:absolute;left:7240;top:9566;width:0;height:608" o:connectortype="straight" o:preferrelative="t">
                <v:stroke endarrow="block" miterlimit="2"/>
              </v:shape>
              <v:group id="Group 16" o:spid="_x0000_s1038" style="position:absolute;left:1195;top:3000;width:9073;height:7693" coordorigin="1195,3000"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9" type="#_x0000_t34" style="position:absolute;left:7714;top:6155;width:3823;height:1285;rotation:270" o:connectortype="elbow" o:preferrelative="t" adj="33">
                  <v:stroke miterlimit="2"/>
                </v:shape>
                <v:shapetype id="_x0000_t202" coordsize="21600,21600" o:spt="202" path="m,l,21600r21600,l21600,xe">
                  <v:stroke joinstyle="miter"/>
                  <v:path gradientshapeok="t" o:connecttype="rect"/>
                </v:shapetype>
                <v:shape id="Text Box 18" o:spid="_x0000_s1040" type="#_x0000_t202" style="position:absolute;left:9343;top:5297;width:754;height:2553" o:preferrelative="t" strokecolor="white">
                  <v:stroke miterlimit="2"/>
                  <v:textbox>
                    <w:txbxContent>
                      <w:p w:rsidR="0050606F" w:rsidRDefault="00C85026">
                        <w:pPr>
                          <w:jc w:val="center"/>
                        </w:pPr>
                        <w:r>
                          <w:rPr>
                            <w:rFonts w:hint="eastAsia"/>
                          </w:rPr>
                          <w:t>不能提供符合受理要求的材料</w:t>
                        </w:r>
                      </w:p>
                    </w:txbxContent>
                  </v:textbox>
                </v:shape>
                <v:shape id="AutoShape 19" o:spid="_x0000_s1041" type="#_x0000_t32" style="position:absolute;left:7240;top:7472;width:0;height:378" o:connectortype="straight" o:preferrelative="t">
                  <v:stroke endarrow="block" miterlimit="2"/>
                </v:shape>
                <v:shape id="Text Box 20" o:spid="_x0000_s1042" type="#_x0000_t202" style="position:absolute;left:3915;top:9566;width:2737;height:477" o:preferrelative="t" strokecolor="white">
                  <v:stroke miterlimit="2"/>
                  <v:textbox>
                    <w:txbxContent>
                      <w:p w:rsidR="0050606F" w:rsidRDefault="00C85026">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43" type="#_x0000_t4" style="position:absolute;left:5346;top:7833;width:3637;height:1733" o:preferrelative="t">
                  <v:stroke miterlimit="2"/>
                  <v:textbox>
                    <w:txbxContent>
                      <w:p w:rsidR="0050606F" w:rsidRDefault="00C85026">
                        <w:r>
                          <w:rPr>
                            <w:rFonts w:hint="eastAsia"/>
                          </w:rPr>
                          <w:t>申请人补充材料</w:t>
                        </w:r>
                      </w:p>
                    </w:txbxContent>
                  </v:textbox>
                </v:shape>
                <v:rect id="Rectangle 22" o:spid="_x0000_s1044" style="position:absolute;left:3915;top:10174;width:4816;height:519" o:preferrelative="t">
                  <v:stroke miterlimit="2"/>
                  <v:textbox>
                    <w:txbxContent>
                      <w:p w:rsidR="0050606F" w:rsidRDefault="00C85026">
                        <w:pPr>
                          <w:jc w:val="center"/>
                        </w:pPr>
                        <w:r>
                          <w:rPr>
                            <w:rFonts w:hint="eastAsia"/>
                          </w:rPr>
                          <w:t>依法应予受理，出具行政审批受理单</w:t>
                        </w:r>
                      </w:p>
                      <w:p w:rsidR="0050606F" w:rsidRDefault="0050606F">
                        <w:pPr>
                          <w:jc w:val="center"/>
                        </w:pPr>
                      </w:p>
                    </w:txbxContent>
                  </v:textbox>
                </v:rect>
                <v:rect id="Rectangle 23" o:spid="_x0000_s1045" style="position:absolute;left:5913;top:6341;width:3190;height:1114" o:preferrelative="t">
                  <v:stroke miterlimit="2"/>
                  <v:textbox>
                    <w:txbxContent>
                      <w:p w:rsidR="0050606F" w:rsidRDefault="00C85026">
                        <w:pPr>
                          <w:jc w:val="center"/>
                        </w:pPr>
                        <w:r>
                          <w:rPr>
                            <w:rFonts w:hint="eastAsia"/>
                          </w:rPr>
                          <w:t>材料不全或不符合法定形式的，一次性告知补正材料，</w:t>
                        </w:r>
                      </w:p>
                      <w:p w:rsidR="0050606F" w:rsidRDefault="00C85026">
                        <w:pPr>
                          <w:jc w:val="center"/>
                        </w:pPr>
                        <w:r>
                          <w:rPr>
                            <w:rFonts w:hint="eastAsia"/>
                          </w:rPr>
                          <w:t>出具行政审批补正材料通知书</w:t>
                        </w:r>
                      </w:p>
                      <w:p w:rsidR="0050606F" w:rsidRDefault="0050606F"/>
                    </w:txbxContent>
                  </v:textbox>
                </v:rect>
                <v:shape id="AutoShape 24" o:spid="_x0000_s1046" type="#_x0000_t116" style="position:absolute;left:5913;top:4050;width:2922;height:1710" o:preferrelative="t">
                  <v:stroke miterlimit="2"/>
                  <v:textbox>
                    <w:txbxContent>
                      <w:p w:rsidR="0050606F" w:rsidRDefault="00C85026">
                        <w:pPr>
                          <w:jc w:val="center"/>
                        </w:pPr>
                        <w:r>
                          <w:rPr>
                            <w:rFonts w:hint="eastAsia"/>
                          </w:rPr>
                          <w:t>依法不予受理的，</w:t>
                        </w:r>
                        <w:proofErr w:type="gramStart"/>
                        <w:r>
                          <w:rPr>
                            <w:rFonts w:hint="eastAsia"/>
                          </w:rPr>
                          <w:t>作出</w:t>
                        </w:r>
                        <w:proofErr w:type="gramEnd"/>
                        <w:r>
                          <w:rPr>
                            <w:rFonts w:hint="eastAsia"/>
                          </w:rPr>
                          <w:t>不予受理决定，出具不予受理行政审批申请通知书</w:t>
                        </w:r>
                      </w:p>
                      <w:p w:rsidR="0050606F" w:rsidRDefault="0050606F">
                        <w:pPr>
                          <w:jc w:val="center"/>
                        </w:pPr>
                      </w:p>
                    </w:txbxContent>
                  </v:textbox>
                </v:shape>
                <v:group id="Group 25" o:spid="_x0000_s1047" style="position:absolute;left:1195;top:3000;width:4746;height:7424" coordorigin="1195,3000" coordsize="4746,7424">
                  <v:shape id="AutoShape 26" o:spid="_x0000_s1048" type="#_x0000_t32" style="position:absolute;left:5010;top:6910;width:931;height:0" o:connectortype="straight" o:preferrelative="t">
                    <v:stroke endarrow="block" miterlimit="2"/>
                  </v:shape>
                  <v:shape id="AutoShape 27" o:spid="_x0000_s1049" type="#_x0000_t32" style="position:absolute;left:2702;top:6986;width:1;height:3437" o:connectortype="straight" o:preferrelative="t">
                    <v:stroke miterlimit="2"/>
                  </v:shape>
                  <v:group id="Group 28" o:spid="_x0000_s1050" style="position:absolute;left:1195;top:3000;width:3781;height:4066" coordorigin="1195,3000" coordsize="3781,4066">
                    <v:shape id="AutoShape 29" o:spid="_x0000_s1051" type="#_x0000_t32" style="position:absolute;left:2743;top:4172;width:1;height:764" o:connectortype="straight" o:preferrelative="t">
                      <v:stroke endarrow="block" miterlimit="2"/>
                    </v:shape>
                    <v:shape id="AutoShape 30" o:spid="_x0000_s1052" type="#_x0000_t32" style="position:absolute;left:4188;top:5967;width:788;height:26;flip:y" o:connectortype="straight" o:preferrelative="t">
                      <v:stroke miterlimit="2"/>
                    </v:shape>
                    <v:shape id="AutoShape 31" o:spid="_x0000_s1053" type="#_x0000_t4" style="position:absolute;left:1195;top:4919;width:2993;height:2147" o:preferrelative="t">
                      <v:stroke miterlimit="2"/>
                      <v:textbox>
                        <w:txbxContent>
                          <w:p w:rsidR="0050606F" w:rsidRDefault="00C85026">
                            <w:r>
                              <w:rPr>
                                <w:rFonts w:hint="eastAsia"/>
                              </w:rPr>
                              <w:t>接件（</w:t>
                            </w:r>
                            <w:r>
                              <w:t>5</w:t>
                            </w:r>
                            <w:r>
                              <w:rPr>
                                <w:rFonts w:hint="eastAsia"/>
                              </w:rPr>
                              <w:t>个工作日）</w:t>
                            </w:r>
                            <w:proofErr w:type="gramStart"/>
                            <w:r>
                              <w:rPr>
                                <w:rFonts w:hint="eastAsia"/>
                              </w:rPr>
                              <w:t>作出</w:t>
                            </w:r>
                            <w:proofErr w:type="gramEnd"/>
                            <w:r>
                              <w:rPr>
                                <w:rFonts w:hint="eastAsia"/>
                              </w:rPr>
                              <w:t>是否受理决定</w:t>
                            </w:r>
                          </w:p>
                          <w:p w:rsidR="0050606F" w:rsidRDefault="0050606F"/>
                        </w:txbxContent>
                      </v:textbox>
                    </v:shape>
                    <v:shape id="AutoShape 32" o:spid="_x0000_s1054" type="#_x0000_t116" style="position:absolute;left:1531;top:3000;width:2724;height:1172" o:preferrelative="t">
                      <v:stroke miterlimit="2"/>
                      <v:textbox>
                        <w:txbxContent>
                          <w:p w:rsidR="0050606F" w:rsidRDefault="00C85026">
                            <w:pPr>
                              <w:jc w:val="center"/>
                            </w:pPr>
                            <w:r>
                              <w:rPr>
                                <w:rFonts w:hint="eastAsia"/>
                              </w:rPr>
                              <w:t>申请人提出书面申请，并提交材料</w:t>
                            </w:r>
                          </w:p>
                        </w:txbxContent>
                      </v:textbox>
                    </v:shape>
                  </v:group>
                  <v:shape id="AutoShape 33" o:spid="_x0000_s1055" type="#_x0000_t32" style="position:absolute;left:2702;top:10423;width:1213;height:1" o:connectortype="straight" o:preferrelative="t">
                    <v:stroke endarrow="block" miterlimit="2"/>
                  </v:shape>
                  <v:shape id="AutoShape 34" o:spid="_x0000_s1056" type="#_x0000_t32" style="position:absolute;left:5010;top:4999;width:0;height:1921" o:connectortype="straight" o:preferrelative="t">
                    <v:stroke miterlimit="2"/>
                  </v:shape>
                  <v:shape id="AutoShape 35" o:spid="_x0000_s1057" type="#_x0000_t32" style="position:absolute;left:5010;top:4989;width:903;height:1" o:connectortype="straight" o:preferrelative="t">
                    <v:stroke endarrow="block" miterlimit="2"/>
                  </v:shape>
                  <v:shape id="Text Box 36" o:spid="_x0000_s1058" type="#_x0000_t202" style="position:absolute;left:1944;top:8280;width:508;height:1152" o:preferrelative="t" strokecolor="white">
                    <v:stroke miterlimit="2"/>
                    <v:textbox>
                      <w:txbxContent>
                        <w:p w:rsidR="0050606F" w:rsidRDefault="00C85026">
                          <w:r>
                            <w:rPr>
                              <w:rFonts w:hint="eastAsia"/>
                            </w:rPr>
                            <w:t>是</w:t>
                          </w:r>
                        </w:p>
                      </w:txbxContent>
                    </v:textbox>
                  </v:shape>
                  <v:shape id="Text Box 37" o:spid="_x0000_s1059" type="#_x0000_t202" style="position:absolute;left:4146;top:5220;width:508;height:471" o:preferrelative="t" strokecolor="white">
                    <v:stroke miterlimit="2"/>
                    <v:textbox style="mso-fit-shape-to-text:t">
                      <w:txbxContent>
                        <w:p w:rsidR="0050606F" w:rsidRDefault="00C85026">
                          <w:proofErr w:type="gramStart"/>
                          <w:r>
                            <w:rPr>
                              <w:rFonts w:hint="eastAsia"/>
                            </w:rPr>
                            <w:t>否</w:t>
                          </w:r>
                          <w:proofErr w:type="gramEnd"/>
                        </w:p>
                      </w:txbxContent>
                    </v:textbox>
                  </v:shape>
                </v:group>
                <v:shape id="AutoShape 38" o:spid="_x0000_s1060" type="#_x0000_t32" style="position:absolute;left:8927;top:4886;width:1341;height:0;flip:x" o:connectortype="straight" o:preferrelative="t">
                  <v:stroke endarrow="block" miterlimit="2"/>
                </v:shape>
              </v:group>
            </v:group>
          </v:group>
        </w:pict>
      </w:r>
    </w:p>
    <w:p w:rsidR="0050606F" w:rsidRDefault="0050606F">
      <w:pPr>
        <w:ind w:right="300"/>
        <w:jc w:val="center"/>
        <w:rPr>
          <w:rFonts w:ascii="Times New Roman" w:eastAsia="仿宋_GB2312" w:hAnsi="Times New Roman" w:cs="Times New Roman"/>
          <w:sz w:val="30"/>
          <w:szCs w:val="30"/>
        </w:rPr>
      </w:pPr>
    </w:p>
    <w:p w:rsidR="0050606F" w:rsidRDefault="0050606F">
      <w:pPr>
        <w:ind w:right="300"/>
        <w:jc w:val="center"/>
        <w:rPr>
          <w:rFonts w:ascii="Times New Roman" w:eastAsia="仿宋_GB2312" w:hAnsi="Times New Roman" w:cs="Times New Roman"/>
          <w:sz w:val="30"/>
          <w:szCs w:val="30"/>
        </w:rPr>
      </w:pPr>
    </w:p>
    <w:p w:rsidR="0050606F" w:rsidRDefault="0050606F">
      <w:pPr>
        <w:ind w:right="300"/>
        <w:jc w:val="center"/>
        <w:rPr>
          <w:rFonts w:ascii="Times New Roman" w:eastAsia="仿宋_GB2312" w:hAnsi="Times New Roman" w:cs="Times New Roman"/>
          <w:sz w:val="30"/>
          <w:szCs w:val="30"/>
        </w:rPr>
      </w:pPr>
    </w:p>
    <w:p w:rsidR="0050606F" w:rsidRDefault="0050606F">
      <w:pPr>
        <w:ind w:right="300"/>
        <w:jc w:val="left"/>
        <w:rPr>
          <w:rFonts w:ascii="Times New Roman" w:eastAsia="仿宋_GB2312" w:hAnsi="Times New Roman" w:cs="Times New Roman"/>
          <w:sz w:val="30"/>
          <w:szCs w:val="30"/>
        </w:rPr>
      </w:pPr>
    </w:p>
    <w:p w:rsidR="0050606F" w:rsidRDefault="00C85026">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50606F" w:rsidRDefault="0050606F">
      <w:pPr>
        <w:ind w:firstLine="420"/>
        <w:rPr>
          <w:rFonts w:ascii="Times New Roman" w:hAnsi="Times New Roman" w:cs="Times New Roman"/>
        </w:rPr>
      </w:pPr>
    </w:p>
    <w:p w:rsidR="0050606F" w:rsidRDefault="00C85026">
      <w:pPr>
        <w:widowControl/>
        <w:jc w:val="left"/>
        <w:rPr>
          <w:rFonts w:ascii="Times New Roman" w:eastAsia="仿宋_GB2312" w:hAnsi="Times New Roman" w:cs="Times New Roman"/>
          <w:sz w:val="30"/>
          <w:szCs w:val="30"/>
        </w:rPr>
      </w:pPr>
      <w:r>
        <w:rPr>
          <w:rFonts w:ascii="Times New Roman" w:eastAsia="仿宋_GB2312" w:hAnsi="Times New Roman" w:cs="Times New Roman"/>
          <w:kern w:val="0"/>
          <w:sz w:val="30"/>
          <w:szCs w:val="30"/>
        </w:rPr>
        <w:br w:type="page"/>
      </w:r>
    </w:p>
    <w:p w:rsidR="0050606F" w:rsidRDefault="00C85026">
      <w:pPr>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附录二</w:t>
      </w:r>
      <w:r>
        <w:rPr>
          <w:rFonts w:ascii="Times New Roman" w:eastAsia="仿宋_GB2312" w:hAnsi="Times New Roman" w:cs="Times New Roman"/>
          <w:kern w:val="0"/>
          <w:sz w:val="30"/>
          <w:szCs w:val="30"/>
        </w:rPr>
        <w:t xml:space="preserve">            </w:t>
      </w:r>
    </w:p>
    <w:p w:rsidR="0050606F" w:rsidRDefault="00C85026">
      <w:pPr>
        <w:jc w:val="center"/>
        <w:rPr>
          <w:rFonts w:ascii="Times New Roman" w:eastAsia="黑体" w:hAnsi="黑体" w:cs="Times New Roman"/>
          <w:kern w:val="0"/>
          <w:sz w:val="30"/>
          <w:szCs w:val="30"/>
        </w:rPr>
      </w:pPr>
      <w:r>
        <w:rPr>
          <w:rFonts w:ascii="Times New Roman" w:eastAsia="黑体" w:hAnsi="黑体" w:cs="Times New Roman"/>
          <w:kern w:val="0"/>
          <w:sz w:val="30"/>
          <w:szCs w:val="30"/>
        </w:rPr>
        <w:t>常见问题</w:t>
      </w:r>
    </w:p>
    <w:p w:rsidR="0050606F" w:rsidRDefault="0050606F">
      <w:pPr>
        <w:jc w:val="center"/>
        <w:rPr>
          <w:rFonts w:ascii="Times New Roman" w:eastAsia="黑体" w:hAnsi="Times New Roman" w:cs="Times New Roman"/>
          <w:kern w:val="0"/>
          <w:sz w:val="30"/>
          <w:szCs w:val="30"/>
        </w:rPr>
      </w:pPr>
    </w:p>
    <w:p w:rsidR="0050606F" w:rsidRDefault="00C85026">
      <w:pPr>
        <w:ind w:firstLineChars="250" w:firstLine="75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问：</w:t>
      </w:r>
      <w:r>
        <w:rPr>
          <w:rFonts w:ascii="Times New Roman" w:eastAsia="仿宋_GB2312" w:hAnsi="Times New Roman" w:cs="Times New Roman" w:hint="eastAsia"/>
          <w:kern w:val="0"/>
          <w:sz w:val="30"/>
          <w:szCs w:val="30"/>
        </w:rPr>
        <w:t>我</w:t>
      </w:r>
      <w:r>
        <w:rPr>
          <w:rFonts w:ascii="Times New Roman" w:eastAsia="仿宋_GB2312" w:hAnsi="Times New Roman" w:cs="Times New Roman"/>
          <w:kern w:val="0"/>
          <w:sz w:val="30"/>
          <w:szCs w:val="30"/>
        </w:rPr>
        <w:t>公司境外发债资金如果留存境外需要办理什么手续？</w:t>
      </w:r>
    </w:p>
    <w:p w:rsidR="0050606F" w:rsidRDefault="00C85026">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答：</w:t>
      </w:r>
      <w:r>
        <w:rPr>
          <w:rFonts w:ascii="Times New Roman" w:eastAsia="仿宋_GB2312" w:hAnsi="Times New Roman" w:cs="Times New Roman" w:hint="eastAsia"/>
          <w:kern w:val="0"/>
          <w:sz w:val="30"/>
          <w:szCs w:val="30"/>
        </w:rPr>
        <w:t>非银行机构借用外债或对外发行债券的，原则上应将所涉资金调回境内使用。境内非银行机构境外发债募集资金境外使用，应符合现行外汇管理及相关法律法规要求，</w:t>
      </w:r>
      <w:r>
        <w:rPr>
          <w:rFonts w:ascii="Times New Roman" w:eastAsia="仿宋_GB2312" w:hAnsi="Times New Roman" w:cs="Times New Roman"/>
          <w:kern w:val="0"/>
          <w:sz w:val="30"/>
          <w:szCs w:val="30"/>
        </w:rPr>
        <w:t>并应在境外债券交割日起</w:t>
      </w:r>
      <w:r>
        <w:rPr>
          <w:rFonts w:ascii="Times New Roman" w:eastAsia="仿宋_GB2312" w:hAnsi="Times New Roman" w:cs="Times New Roman" w:hint="eastAsia"/>
          <w:kern w:val="0"/>
          <w:sz w:val="30"/>
          <w:szCs w:val="30"/>
        </w:rPr>
        <w:t>1</w:t>
      </w:r>
      <w:r>
        <w:rPr>
          <w:rFonts w:ascii="Times New Roman" w:eastAsia="仿宋_GB2312" w:hAnsi="Times New Roman" w:cs="Times New Roman"/>
          <w:kern w:val="0"/>
          <w:sz w:val="30"/>
          <w:szCs w:val="30"/>
        </w:rPr>
        <w:t>5</w:t>
      </w:r>
      <w:r>
        <w:rPr>
          <w:rFonts w:ascii="Times New Roman" w:eastAsia="仿宋_GB2312" w:hAnsi="Times New Roman" w:cs="Times New Roman"/>
          <w:kern w:val="0"/>
          <w:sz w:val="30"/>
          <w:szCs w:val="30"/>
        </w:rPr>
        <w:t>个工作日内，到所在地外汇局办理外债签约登记时，一并办理非资金划转类提款备案。</w:t>
      </w:r>
    </w:p>
    <w:p w:rsidR="0050606F" w:rsidRDefault="00C85026">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问：我公司计划将已借入外债资金转为股东投资，需要办理什么手续？</w:t>
      </w:r>
    </w:p>
    <w:p w:rsidR="0050606F" w:rsidRDefault="00C85026">
      <w:pPr>
        <w:rPr>
          <w:rFonts w:ascii="Times New Roman" w:hAnsi="Times New Roman" w:cs="Times New Roman"/>
        </w:rPr>
      </w:pP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答：需要</w:t>
      </w:r>
      <w:r>
        <w:rPr>
          <w:rFonts w:ascii="Times New Roman" w:eastAsia="仿宋_GB2312" w:hAnsi="Times New Roman" w:cs="Times New Roman" w:hint="eastAsia"/>
          <w:kern w:val="0"/>
          <w:sz w:val="30"/>
          <w:szCs w:val="30"/>
        </w:rPr>
        <w:t>按规定</w:t>
      </w:r>
      <w:r>
        <w:rPr>
          <w:rFonts w:ascii="Times New Roman" w:eastAsia="仿宋_GB2312" w:hAnsi="Times New Roman" w:cs="Times New Roman"/>
          <w:kern w:val="0"/>
          <w:sz w:val="30"/>
          <w:szCs w:val="30"/>
        </w:rPr>
        <w:t>办理外债非资金划转还本付息备案。</w:t>
      </w:r>
    </w:p>
    <w:sectPr w:rsidR="0050606F">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26" w:rsidRDefault="00C85026">
      <w:r>
        <w:separator/>
      </w:r>
    </w:p>
  </w:endnote>
  <w:endnote w:type="continuationSeparator" w:id="0">
    <w:p w:rsidR="00C85026" w:rsidRDefault="00C8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06F" w:rsidRDefault="00C85026">
    <w:pPr>
      <w:pStyle w:val="a6"/>
      <w:jc w:val="center"/>
    </w:pPr>
    <w:r>
      <w:fldChar w:fldCharType="begin"/>
    </w:r>
    <w:r>
      <w:instrText xml:space="preserve"> PAGE   \* MERGEFORMAT </w:instrText>
    </w:r>
    <w:r>
      <w:fldChar w:fldCharType="separate"/>
    </w:r>
    <w:r w:rsidR="00F07772" w:rsidRPr="00F07772">
      <w:rPr>
        <w:noProof/>
        <w:lang w:val="zh-CN"/>
      </w:rPr>
      <w:t>8</w:t>
    </w:r>
    <w:r>
      <w:rPr>
        <w:lang w:val="zh-CN"/>
      </w:rPr>
      <w:fldChar w:fldCharType="end"/>
    </w:r>
  </w:p>
  <w:p w:rsidR="0050606F" w:rsidRDefault="005060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26" w:rsidRDefault="00C85026">
      <w:r>
        <w:separator/>
      </w:r>
    </w:p>
  </w:footnote>
  <w:footnote w:type="continuationSeparator" w:id="0">
    <w:p w:rsidR="00C85026" w:rsidRDefault="00C85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0F1D1"/>
    <w:multiLevelType w:val="singleLevel"/>
    <w:tmpl w:val="5A10F1D1"/>
    <w:lvl w:ilvl="0">
      <w:start w:val="2"/>
      <w:numFmt w:val="chineseCounting"/>
      <w:suff w:val="nothing"/>
      <w:lvlText w:val="%1、"/>
      <w:lvlJc w:val="left"/>
    </w:lvl>
  </w:abstractNum>
  <w:abstractNum w:abstractNumId="1">
    <w:nsid w:val="5A10F1E0"/>
    <w:multiLevelType w:val="singleLevel"/>
    <w:tmpl w:val="5A10F1E0"/>
    <w:lvl w:ilvl="0">
      <w:start w:val="3"/>
      <w:numFmt w:val="chineseCounting"/>
      <w:suff w:val="nothing"/>
      <w:lvlText w:val="%1、"/>
      <w:lvlJc w:val="left"/>
    </w:lvl>
  </w:abstractNum>
  <w:abstractNum w:abstractNumId="2">
    <w:nsid w:val="5A155569"/>
    <w:multiLevelType w:val="singleLevel"/>
    <w:tmpl w:val="5A155569"/>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5DA"/>
    <w:rsid w:val="00040DB9"/>
    <w:rsid w:val="000712D9"/>
    <w:rsid w:val="000911DE"/>
    <w:rsid w:val="000A2859"/>
    <w:rsid w:val="000B7295"/>
    <w:rsid w:val="00135195"/>
    <w:rsid w:val="0015061C"/>
    <w:rsid w:val="00156155"/>
    <w:rsid w:val="00166586"/>
    <w:rsid w:val="00224E3E"/>
    <w:rsid w:val="00276240"/>
    <w:rsid w:val="002942A4"/>
    <w:rsid w:val="002C64E2"/>
    <w:rsid w:val="002C6C8D"/>
    <w:rsid w:val="002D3AA2"/>
    <w:rsid w:val="002D7223"/>
    <w:rsid w:val="00302875"/>
    <w:rsid w:val="0038340C"/>
    <w:rsid w:val="0039521E"/>
    <w:rsid w:val="003B0016"/>
    <w:rsid w:val="003E0FE4"/>
    <w:rsid w:val="003E46F2"/>
    <w:rsid w:val="00414FE8"/>
    <w:rsid w:val="00420920"/>
    <w:rsid w:val="00433BB6"/>
    <w:rsid w:val="0046340E"/>
    <w:rsid w:val="00481A58"/>
    <w:rsid w:val="0050606F"/>
    <w:rsid w:val="00596114"/>
    <w:rsid w:val="005A057D"/>
    <w:rsid w:val="005D5491"/>
    <w:rsid w:val="005D7B38"/>
    <w:rsid w:val="00624074"/>
    <w:rsid w:val="00631264"/>
    <w:rsid w:val="00633C7C"/>
    <w:rsid w:val="00643652"/>
    <w:rsid w:val="006625F8"/>
    <w:rsid w:val="006B35CF"/>
    <w:rsid w:val="006E7A25"/>
    <w:rsid w:val="006F7B95"/>
    <w:rsid w:val="00715C9E"/>
    <w:rsid w:val="00756B35"/>
    <w:rsid w:val="00771D90"/>
    <w:rsid w:val="007813E1"/>
    <w:rsid w:val="00782304"/>
    <w:rsid w:val="00851234"/>
    <w:rsid w:val="008720C9"/>
    <w:rsid w:val="0088591A"/>
    <w:rsid w:val="00886AB5"/>
    <w:rsid w:val="008A21BD"/>
    <w:rsid w:val="0091298F"/>
    <w:rsid w:val="00925C27"/>
    <w:rsid w:val="009664A8"/>
    <w:rsid w:val="009C2773"/>
    <w:rsid w:val="009E7326"/>
    <w:rsid w:val="009E75E0"/>
    <w:rsid w:val="009F0EE8"/>
    <w:rsid w:val="00A153A2"/>
    <w:rsid w:val="00AF3BF3"/>
    <w:rsid w:val="00B37BB2"/>
    <w:rsid w:val="00B60E36"/>
    <w:rsid w:val="00B80652"/>
    <w:rsid w:val="00C125D3"/>
    <w:rsid w:val="00C36A26"/>
    <w:rsid w:val="00C61046"/>
    <w:rsid w:val="00C70E31"/>
    <w:rsid w:val="00C85026"/>
    <w:rsid w:val="00C91A20"/>
    <w:rsid w:val="00C9281D"/>
    <w:rsid w:val="00C94951"/>
    <w:rsid w:val="00C950DE"/>
    <w:rsid w:val="00CD5041"/>
    <w:rsid w:val="00CD76A0"/>
    <w:rsid w:val="00CD7D13"/>
    <w:rsid w:val="00D217AF"/>
    <w:rsid w:val="00D23801"/>
    <w:rsid w:val="00D60042"/>
    <w:rsid w:val="00D845DA"/>
    <w:rsid w:val="00DA17DA"/>
    <w:rsid w:val="00DA3A66"/>
    <w:rsid w:val="00DC7DB0"/>
    <w:rsid w:val="00DE07A6"/>
    <w:rsid w:val="00DF4380"/>
    <w:rsid w:val="00E20C2A"/>
    <w:rsid w:val="00E33869"/>
    <w:rsid w:val="00E55A86"/>
    <w:rsid w:val="00E67747"/>
    <w:rsid w:val="00EB6638"/>
    <w:rsid w:val="00ED5A36"/>
    <w:rsid w:val="00F07772"/>
    <w:rsid w:val="00F42420"/>
    <w:rsid w:val="00FA003D"/>
    <w:rsid w:val="00FB4205"/>
    <w:rsid w:val="01445E41"/>
    <w:rsid w:val="554F7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9"/>
        <o:r id="V:Rule2" type="connector" idref="#AutoShape 11"/>
        <o:r id="V:Rule3" type="connector" idref="#AutoShape 10"/>
        <o:r id="V:Rule4" type="connector" idref="#AutoShape 17"/>
        <o:r id="V:Rule5" type="connector" idref="#AutoShape 15"/>
        <o:r id="V:Rule6" type="connector" idref="#AutoShape 12"/>
        <o:r id="V:Rule7" type="connector" idref="#AutoShape 13"/>
        <o:r id="V:Rule8" type="connector" idref="#AutoShape 27"/>
        <o:r id="V:Rule9" type="connector" idref="#AutoShape 29"/>
        <o:r id="V:Rule10" type="connector" idref="#AutoShape 33"/>
        <o:r id="V:Rule11" type="connector" idref="#AutoShape 30"/>
        <o:r id="V:Rule12" type="connector" idref="#AutoShape 19"/>
        <o:r id="V:Rule13" type="connector" idref="#AutoShape 38"/>
        <o:r id="V:Rule14" type="connector" idref="#AutoShape 26"/>
        <o:r id="V:Rule15" type="connector" idref="#AutoShape 34"/>
        <o:r id="V:Rule16" type="connector" idref="#AutoShape 35"/>
      </o:rules>
    </o:shapelayout>
  </w:shapeDefaults>
  <w:decimalSymbol w:val="."/>
  <w:listSeparator w:val=","/>
  <w15:docId w15:val="{C84E2620-95DB-48B9-9530-8232442C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Pr>
      <w:rFonts w:ascii="宋体"/>
      <w:sz w:val="18"/>
      <w:szCs w:val="18"/>
    </w:rPr>
  </w:style>
  <w:style w:type="paragraph" w:styleId="a4">
    <w:name w:val="annotation text"/>
    <w:basedOn w:val="a"/>
    <w:link w:val="Char0"/>
    <w:uiPriority w:val="99"/>
    <w:unhideWhenUsed/>
    <w:qFormat/>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qFormat/>
    <w:rPr>
      <w:rFonts w:ascii="ˎ̥" w:hAnsi="ˎ̥" w:hint="default"/>
      <w:color w:val="0453CC"/>
      <w:sz w:val="20"/>
      <w:szCs w:val="20"/>
      <w:u w:val="none"/>
    </w:rPr>
  </w:style>
  <w:style w:type="character" w:styleId="ab">
    <w:name w:val="footnote reference"/>
    <w:unhideWhenUsed/>
    <w:qFormat/>
    <w:rPr>
      <w:rFonts w:ascii="Times New Roman" w:hAnsi="Times New Roman" w:cs="Times New Roman"/>
      <w:vertAlign w:val="superscript"/>
    </w:rPr>
  </w:style>
  <w:style w:type="paragraph" w:customStyle="1" w:styleId="10">
    <w:name w:val="列出段落1"/>
    <w:basedOn w:val="a"/>
    <w:uiPriority w:val="99"/>
    <w:qFormat/>
    <w:pPr>
      <w:ind w:firstLineChars="200" w:firstLine="420"/>
    </w:pPr>
  </w:style>
  <w:style w:type="paragraph" w:customStyle="1" w:styleId="Default">
    <w:name w:val="Default"/>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pPr>
      <w:widowControl/>
    </w:pPr>
    <w:rPr>
      <w:rFonts w:cs="宋体"/>
      <w:kern w:val="0"/>
      <w:szCs w:val="21"/>
    </w:rPr>
  </w:style>
  <w:style w:type="character" w:customStyle="1" w:styleId="1Char">
    <w:name w:val="标题 1 Char"/>
    <w:link w:val="1"/>
    <w:uiPriority w:val="9"/>
    <w:rPr>
      <w:rFonts w:ascii="黑体" w:eastAsia="黑体" w:hAnsi="黑体" w:cs="宋体"/>
      <w:color w:val="000000"/>
      <w:kern w:val="0"/>
      <w:sz w:val="30"/>
      <w:szCs w:val="30"/>
    </w:rPr>
  </w:style>
  <w:style w:type="character" w:customStyle="1" w:styleId="2Char">
    <w:name w:val="标题 2 Char"/>
    <w:link w:val="2"/>
    <w:uiPriority w:val="9"/>
    <w:qFormat/>
    <w:rPr>
      <w:rFonts w:ascii="Cambria" w:eastAsia="宋体" w:hAnsi="Cambria" w:cs="Times New Roman"/>
      <w:b/>
      <w:bCs/>
      <w:sz w:val="32"/>
      <w:szCs w:val="32"/>
    </w:rPr>
  </w:style>
  <w:style w:type="character" w:customStyle="1" w:styleId="3Char">
    <w:name w:val="标题 3 Char"/>
    <w:link w:val="3"/>
    <w:uiPriority w:val="9"/>
    <w:rPr>
      <w:rFonts w:ascii="仿宋_GB2312" w:eastAsia="仿宋_GB2312" w:hAnsi="Calibri" w:cs="Times New Roman"/>
      <w:sz w:val="30"/>
      <w:szCs w:val="30"/>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rPr>
      <w:sz w:val="18"/>
      <w:szCs w:val="18"/>
    </w:rPr>
  </w:style>
  <w:style w:type="character" w:customStyle="1" w:styleId="Char10">
    <w:name w:val="批注框文本 Char1"/>
    <w:uiPriority w:val="99"/>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uiPriority w:val="99"/>
    <w:rPr>
      <w:rFonts w:ascii="Calibri" w:eastAsia="宋体" w:hAnsi="Calibri" w:cs="Times New Roman"/>
    </w:rPr>
  </w:style>
  <w:style w:type="character" w:customStyle="1" w:styleId="Char4">
    <w:name w:val="脚注文本 Char"/>
    <w:link w:val="a8"/>
    <w:semiHidden/>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qFormat/>
    <w:rPr>
      <w:rFonts w:ascii="宋体"/>
      <w:sz w:val="18"/>
      <w:szCs w:val="18"/>
    </w:rPr>
  </w:style>
  <w:style w:type="character" w:customStyle="1" w:styleId="12">
    <w:name w:val="明显强调1"/>
    <w:uiPriority w:val="21"/>
    <w:qFormat/>
    <w:rPr>
      <w:b/>
      <w:bCs/>
      <w:i/>
      <w:iCs/>
      <w:color w:val="4F81BD"/>
    </w:rPr>
  </w:style>
  <w:style w:type="character" w:customStyle="1" w:styleId="Char11">
    <w:name w:val="文档结构图 Char1"/>
    <w:uiPriority w:val="99"/>
    <w:semiHidden/>
    <w:qFormat/>
    <w:rPr>
      <w:rFonts w:ascii="宋体" w:eastAsia="宋体"/>
      <w:sz w:val="18"/>
      <w:szCs w:val="18"/>
    </w:rPr>
  </w:style>
  <w:style w:type="character" w:customStyle="1" w:styleId="Char20">
    <w:name w:val="脚注文本 Char2"/>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369</Words>
  <Characters>2105</Characters>
  <Application>Microsoft Office Word</Application>
  <DocSecurity>0</DocSecurity>
  <Lines>17</Lines>
  <Paragraphs>4</Paragraphs>
  <ScaleCrop>false</ScaleCrop>
  <Company>Lenovo (Beijing) Limited</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编号：57006                _x0001_</dc:title>
  <dc:creator>朱敏1</dc:creator>
  <cp:lastModifiedBy>孟田</cp:lastModifiedBy>
  <cp:revision>1</cp:revision>
  <cp:lastPrinted>2020-07-02T08:52:00Z</cp:lastPrinted>
  <dcterms:created xsi:type="dcterms:W3CDTF">2019-11-28T09:31:00Z</dcterms:created>
  <dcterms:modified xsi:type="dcterms:W3CDTF">2021-02-04T06:57:00Z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