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right="300"/>
        <w:rPr>
          <w:rFonts w:ascii="Times New Roman" w:hAnsi="Times New Roman" w:eastAsia="黑体" w:cs="Times New Roman"/>
          <w:sz w:val="48"/>
          <w:szCs w:val="48"/>
        </w:rPr>
      </w:pPr>
      <w:r>
        <w:rPr>
          <w:rFonts w:ascii="Times New Roman" w:hAnsi="Times New Roman" w:eastAsia="黑体" w:cs="Times New Roman"/>
          <w:sz w:val="48"/>
          <w:szCs w:val="48"/>
        </w:rPr>
        <w:t xml:space="preserve">编号：57016               </w:t>
      </w:r>
      <w:r>
        <w:rPr>
          <w:rFonts w:ascii="Times New Roman" w:hAnsi="Times New Roman" w:eastAsia="黑体" w:cs="Times New Roman"/>
          <w:kern w:val="2"/>
          <w:sz w:val="48"/>
          <w:szCs w:val="48"/>
          <w:lang w:val="en-US" w:eastAsia="zh-CN" w:bidi="ar-SA"/>
        </w:rPr>
        <w:pict>
          <v:shape id="Picture 1" o:spid="_x0000_s1026" type="#_x0000_t75" style="height:69.75pt;width:87pt;rotation:0f;" o:ole="f" fillcolor="#FFFFFF" filled="f" o:preferrelative="t" stroked="f" coordorigin="0,0" coordsize="21600,21600">
            <v:fill on="f" color2="#FFFFFF" focus="0%"/>
            <v:imagedata gain="65536f" blacklevel="0f" gamma="0" o:title="" r:id="rId8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</w:p>
    <w:p>
      <w:pPr>
        <w:ind w:right="300"/>
        <w:jc w:val="center"/>
        <w:rPr>
          <w:rFonts w:hint="eastAsia" w:ascii="Times New Roman" w:hAnsi="Times New Roman" w:eastAsia="黑体" w:cs="Times New Roman"/>
          <w:sz w:val="52"/>
          <w:szCs w:val="52"/>
        </w:rPr>
      </w:pPr>
      <w:r>
        <w:rPr>
          <w:rFonts w:ascii="Times New Roman" w:hAnsi="Times New Roman" w:eastAsia="黑体" w:cs="Times New Roman"/>
          <w:sz w:val="52"/>
          <w:szCs w:val="52"/>
        </w:rPr>
        <w:t>“外币现钞提取、调运和携带出境</w:t>
      </w: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  <w:r>
        <w:rPr>
          <w:rFonts w:ascii="Times New Roman" w:hAnsi="Times New Roman" w:eastAsia="黑体" w:cs="Times New Roman"/>
          <w:sz w:val="52"/>
          <w:szCs w:val="52"/>
        </w:rPr>
        <w:t>审核”行政审批服务指南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发布日期：20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2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</w:t>
      </w:r>
      <w:r>
        <w:rPr>
          <w:rFonts w:ascii="Times New Roman" w:hAnsi="Times New Roman" w:eastAsia="仿宋_GB2312" w:cs="Times New Roman"/>
          <w:sz w:val="30"/>
          <w:szCs w:val="30"/>
        </w:rPr>
        <w:t>年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月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20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日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实施日期：20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2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</w:t>
      </w:r>
      <w:r>
        <w:rPr>
          <w:rFonts w:ascii="Times New Roman" w:hAnsi="Times New Roman" w:eastAsia="仿宋_GB2312" w:cs="Times New Roman"/>
          <w:sz w:val="30"/>
          <w:szCs w:val="30"/>
        </w:rPr>
        <w:t>年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月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2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0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日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发布机构：国家外汇管理局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江苏省分局</w:t>
      </w: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  <w:sectPr>
          <w:footerReference r:id="rId4" w:type="default"/>
          <w:pgSz w:w="11906" w:h="16838"/>
          <w:pgMar w:top="1440" w:right="1800" w:bottom="1440" w:left="1800" w:header="851" w:footer="992" w:gutter="0"/>
          <w:cols w:space="720" w:num="1"/>
          <w:titlePg/>
          <w:docGrid w:type="lines" w:linePitch="312" w:charSpace="0"/>
        </w:sectPr>
      </w:pPr>
    </w:p>
    <w:p>
      <w:pPr>
        <w:ind w:right="300"/>
        <w:jc w:val="left"/>
        <w:rPr>
          <w:rFonts w:ascii="Times New Roman" w:hAnsi="Times New Roman" w:eastAsia="黑体" w:cs="Times New Roman"/>
          <w:sz w:val="48"/>
          <w:szCs w:val="48"/>
        </w:rPr>
        <w:sectPr>
          <w:footerReference r:id="rId5" w:type="default"/>
          <w:type w:val="continuous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一、项目信息</w:t>
      </w:r>
    </w:p>
    <w:p>
      <w:pPr>
        <w:adjustRightInd w:val="0"/>
        <w:snapToGrid w:val="0"/>
        <w:spacing w:line="360" w:lineRule="auto"/>
        <w:ind w:firstLine="585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项目名称：外币现钞提取、调运和携带出境审核；</w:t>
      </w:r>
    </w:p>
    <w:p>
      <w:pPr>
        <w:adjustRightInd w:val="0"/>
        <w:snapToGrid w:val="0"/>
        <w:spacing w:line="360" w:lineRule="auto"/>
        <w:ind w:firstLine="585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项目编号：57016；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审批类别：行政许可。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二、适用范围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本指南适用于“外币现钞提取、调运和携带出境审核”的申请和办理。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三、设定依据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（一）《中华人民共和国外汇管理条例》（国务院令第532号）第十五条：“携带、申报外币现钞出入境的限额，由国务院外汇管理部门规定”；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（二）《国务院对确需保留的行政审批项目设定行政许可的决定》（国务院令第412号）附件第495项“机构单笔提取超过规定金额外币现钞审批”。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四、个人提取外币现钞（当日累计提取超过等值10000美元外币现钞）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（一）办理依据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1.《个人外汇管理办法》（中国人民银行令2006年第3号）；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2.《个人外汇管理办法实施细则》（汇发〔2007〕1号）。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3.</w:t>
      </w:r>
      <w:r>
        <w:rPr>
          <w:rFonts w:ascii="Times New Roman" w:hAnsi="Times New Roman" w:eastAsia="仿宋_GB2312" w:cs="Times New Roman"/>
          <w:bCs/>
          <w:sz w:val="30"/>
          <w:szCs w:val="30"/>
        </w:rPr>
        <w:t>《国家外汇管理局关于印发〈经常项目外汇业务指引（2020年版）〉的通知》（汇发〔2020〕14号）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（二）受理机构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经办</w:t>
      </w:r>
      <w:r>
        <w:rPr>
          <w:rFonts w:ascii="Times New Roman" w:hAnsi="Times New Roman" w:eastAsia="仿宋_GB2312" w:cs="Times New Roman"/>
          <w:sz w:val="30"/>
          <w:szCs w:val="30"/>
        </w:rPr>
        <w:t>银行所在地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国家外汇管理局分支局</w:t>
      </w:r>
      <w:r>
        <w:rPr>
          <w:rFonts w:ascii="Times New Roman" w:hAnsi="Times New Roman" w:eastAsia="仿宋_GB2312" w:cs="Times New Roman"/>
          <w:sz w:val="30"/>
          <w:szCs w:val="30"/>
        </w:rPr>
        <w:t>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（三）决定机构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经办</w:t>
      </w:r>
      <w:r>
        <w:rPr>
          <w:rFonts w:ascii="Times New Roman" w:hAnsi="Times New Roman" w:eastAsia="仿宋_GB2312" w:cs="Times New Roman"/>
          <w:sz w:val="30"/>
          <w:szCs w:val="30"/>
        </w:rPr>
        <w:t>银行所在地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国家外汇管理局分支局</w:t>
      </w:r>
      <w:r>
        <w:rPr>
          <w:rFonts w:ascii="Times New Roman" w:hAnsi="Times New Roman" w:eastAsia="仿宋_GB2312" w:cs="Times New Roman"/>
          <w:sz w:val="30"/>
          <w:szCs w:val="30"/>
        </w:rPr>
        <w:t>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（四）审批数量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无数量限制。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（五）办事条件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申请人为出境赴战乱、外汇管制严格、金融条件差或金融动乱的国家（或地区）的个人。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color w:val="FF0000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禁止性要求：申请材料不齐全，不符合法规规定。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（六）申请材料</w:t>
      </w:r>
    </w:p>
    <w:tbl>
      <w:tblPr>
        <w:tblStyle w:val="17"/>
        <w:tblW w:w="9170" w:type="dxa"/>
        <w:tblInd w:w="-17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3260"/>
        <w:gridCol w:w="1701"/>
        <w:gridCol w:w="850"/>
        <w:gridCol w:w="1418"/>
        <w:gridCol w:w="709"/>
        <w:gridCol w:w="5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原件/复印件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纸质/电子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52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本人有效身份证件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原件和加盖签章的复印件</w:t>
            </w: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各1份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709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提钞用途材料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原件和加盖签章的复印件</w:t>
            </w:r>
          </w:p>
        </w:tc>
        <w:tc>
          <w:tcPr>
            <w:tcW w:w="850" w:type="dxa"/>
            <w:vAlign w:val="top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各1份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52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（七）申请接受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申请人可通过外汇局窗口提交材料。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（八）基本办理流程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.</w:t>
      </w:r>
      <w:r>
        <w:rPr>
          <w:rFonts w:ascii="Times New Roman" w:hAnsi="Times New Roman" w:eastAsia="仿宋_GB2312" w:cs="Times New Roman"/>
          <w:sz w:val="30"/>
          <w:szCs w:val="30"/>
        </w:rPr>
        <w:t>申请人提交申请材料；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.</w:t>
      </w:r>
      <w:r>
        <w:rPr>
          <w:rFonts w:ascii="Times New Roman" w:hAnsi="Times New Roman" w:eastAsia="仿宋_GB2312" w:cs="Times New Roman"/>
          <w:sz w:val="30"/>
          <w:szCs w:val="30"/>
        </w:rPr>
        <w:t>分支局受理；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3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.</w:t>
      </w:r>
      <w:r>
        <w:rPr>
          <w:rFonts w:ascii="Times New Roman" w:hAnsi="Times New Roman" w:eastAsia="仿宋_GB2312" w:cs="Times New Roman"/>
          <w:sz w:val="30"/>
          <w:szCs w:val="30"/>
        </w:rPr>
        <w:t>分支局审查；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4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.</w:t>
      </w:r>
      <w:r>
        <w:rPr>
          <w:rFonts w:ascii="Times New Roman" w:hAnsi="Times New Roman" w:eastAsia="仿宋_GB2312" w:cs="Times New Roman"/>
          <w:sz w:val="30"/>
          <w:szCs w:val="30"/>
        </w:rPr>
        <w:t>分支局审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；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5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.</w:t>
      </w:r>
      <w:r>
        <w:rPr>
          <w:rFonts w:ascii="Times New Roman" w:hAnsi="Times New Roman" w:eastAsia="仿宋_GB2312" w:cs="Times New Roman"/>
          <w:sz w:val="30"/>
          <w:szCs w:val="30"/>
        </w:rPr>
        <w:t>材料齐全予以当场办理，材料不全或不符合其他法定形式的，一次性告知补正材料，并依法出具《行政许可补正通知书》或其他文书。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（九）办理方式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当场办理：申请、受理、审查、决定、出具有签章的《提取外币现钞备案表》或不予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核</w:t>
      </w:r>
      <w:r>
        <w:rPr>
          <w:rFonts w:ascii="Times New Roman" w:hAnsi="Times New Roman" w:eastAsia="仿宋_GB2312" w:cs="Times New Roman"/>
          <w:sz w:val="30"/>
          <w:szCs w:val="30"/>
        </w:rPr>
        <w:t>准的行政许可书面决定。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（十）审批时限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当场办理。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（十一）审批收费依据及标准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不收费。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（十二）审批结果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《提取外币现钞备案表》（一人一表）。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（十三）结果送达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当场告知申请人，现场领取。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（十四）申请人权利和义务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申请人有权依法提出行政审批申请，依法进行投诉、举报、复议、诉讼等。申请人有义务保证申请材料完整、真实、准确，获批后合法合规办理相关业务。</w:t>
      </w:r>
    </w:p>
    <w:p>
      <w:pPr>
        <w:ind w:firstLine="600"/>
        <w:rPr>
          <w:rFonts w:hint="eastAsia"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（十五）</w:t>
      </w:r>
      <w:r>
        <w:rPr>
          <w:rFonts w:hint="eastAsia" w:ascii="Times New Roman" w:hAnsi="Times New Roman" w:eastAsia="黑体" w:cs="Times New Roman"/>
          <w:sz w:val="30"/>
          <w:szCs w:val="30"/>
        </w:rPr>
        <w:t>咨询途径、监督和投诉、办公地址和时间、公开查询方式等</w:t>
      </w:r>
    </w:p>
    <w:p>
      <w:pPr>
        <w:widowControl w:val="0"/>
        <w:wordWrap/>
        <w:autoSpaceDE w:val="0"/>
        <w:autoSpaceDN w:val="0"/>
        <w:adjustRightInd/>
        <w:snapToGrid/>
        <w:spacing w:before="0" w:after="0" w:line="360" w:lineRule="auto"/>
        <w:ind w:left="0" w:leftChars="0" w:right="0" w:firstLine="600" w:firstLineChars="0"/>
        <w:jc w:val="left"/>
        <w:textAlignment w:val="auto"/>
        <w:outlineLvl w:val="9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向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注册所在地外汇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局进行咨询、办理进程查询、监督和投诉等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可通过国家外汇管理局官方互联网站www.safe.gov.cn链接至江苏分局“业务指南”栏目中公布的电话进行。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（十六）事项审查类型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即审即办。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（十七）示范文本及错误范例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个人申请当日累计提取超过等值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1万</w:t>
      </w:r>
      <w:r>
        <w:rPr>
          <w:rFonts w:ascii="Times New Roman" w:hAnsi="Times New Roman" w:eastAsia="仿宋_GB2312" w:cs="Times New Roman"/>
          <w:sz w:val="30"/>
          <w:szCs w:val="30"/>
        </w:rPr>
        <w:t>美元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外币</w:t>
      </w:r>
      <w:r>
        <w:rPr>
          <w:rFonts w:ascii="Times New Roman" w:hAnsi="Times New Roman" w:eastAsia="仿宋_GB2312" w:cs="Times New Roman"/>
          <w:sz w:val="30"/>
          <w:szCs w:val="30"/>
        </w:rPr>
        <w:t>现钞，应提交申请书，说明相关情况并证明其确有提钞需求，并签字。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例：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外汇局XXX分支局：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 本人某某，身份证号/护照号为XXXXX，今因公务原因/回国/……须前往XX国，XX国系战乱/金融管制/……国家，本人须提取外币现钞XXX元，币种为XX。本人外币现钞来源为XXX/提取外币现钞用途为XXX，望批准。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adjustRightInd w:val="0"/>
        <w:snapToGrid w:val="0"/>
        <w:spacing w:line="360" w:lineRule="auto"/>
        <w:ind w:right="600" w:firstLine="5700" w:firstLineChars="19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 签名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 xml:space="preserve">                                   日期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错误范例：金额、申请人姓名、提钞来源/用途、提钞金额及币种等项目遗漏，未签章确认，或提钞用途不符合外汇局提取外币现钞相关要求。</w:t>
      </w: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widowControl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br w:type="page"/>
      </w:r>
      <w:r>
        <w:rPr>
          <w:rFonts w:ascii="Times New Roman" w:hAnsi="Times New Roman" w:eastAsia="仿宋_GB2312" w:cs="Times New Roman"/>
          <w:sz w:val="30"/>
          <w:szCs w:val="30"/>
        </w:rPr>
        <w:t>附录</w: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基本流程图</w:t>
      </w: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pict>
          <v:group id="组合 1026" o:spid="_x0000_s1027" style="position:absolute;left:0;margin-left:-21.85pt;margin-top:10.45pt;height:226.15pt;width:453.05pt;rotation:0f;z-index:251658240;" coordorigin="1363,2897" coordsize="9061,4523">
            <o:lock v:ext="edit" position="f" selection="f" grouping="f" rotation="f" cropping="f" text="f" aspectratio="f"/>
            <v:shape id="AutoShape 211" o:spid="_x0000_s1028" type="#_x0000_t116" style="position:absolute;left:1943;top:2897;height:1172;width:1724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申请人提交申请材料</w:t>
                    </w:r>
                  </w:p>
                </w:txbxContent>
              </v:textbox>
            </v:shape>
            <v:roundrect id="AutoShape 213" o:spid="_x0000_s1029" style="position:absolute;left:7495;top:3918;height:674;width:2929;rotation:0f;" o:ole="f" fillcolor="#FFFFFF" filled="t" o:preferrelative="t" stroked="t" coordsize="21600,21600" arcsize="16.6666666666667%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申请人补全材料</w:t>
                    </w:r>
                  </w:p>
                </w:txbxContent>
              </v:textbox>
            </v:roundrect>
            <v:roundrect id="AutoShape 214" o:spid="_x0000_s1030" style="position:absolute;left:4839;top:5537;height:871;width:5362;rotation:0f;" o:ole="f" fillcolor="#FFFFFF" filled="t" o:preferrelative="t" stroked="t" coordsize="21600,21600" arcsize="16.6666666666667%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材料不全或不符合其他法定形式的，一次性告知补正材料，并依法出具《行政许可补正通知书》或其他文书</w:t>
                    </w:r>
                  </w:p>
                </w:txbxContent>
              </v:textbox>
            </v:roundrect>
            <v:roundrect id="AutoShape 215" o:spid="_x0000_s1031" style="position:absolute;left:4839;top:6684;height:630;width:5362;rotation:0f;" o:ole="f" fillcolor="#FFFFFF" filled="t" o:preferrelative="t" stroked="t" coordsize="21600,21600" arcsize="16.6666666666667%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r>
                      <w:rPr>
                        <w:rFonts w:hint="eastAsia"/>
                      </w:rPr>
                      <w:t>材料齐全予以当场办理</w:t>
                    </w:r>
                  </w:p>
                  <w:p/>
                </w:txbxContent>
              </v:textbox>
            </v:roundrect>
            <v:shape id="AutoShape 216" o:spid="_x0000_s1032" type="#_x0000_t32" style="position:absolute;left:2835;top:4069;height:1468;width:17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217" o:spid="_x0000_s1033" type="#_x0000_t32" style="position:absolute;left:3667;top:6084;height:0;width:1172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218" o:spid="_x0000_s1034" type="#_x0000_t32" style="position:absolute;left:3667;top:6894;height:0;width:1172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219" o:spid="_x0000_s1035" type="#_x0000_t32" style="position:absolute;left:8707;top:4642;flip:y;height:895;width:1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220" o:spid="_x0000_s1036" type="#_x0000_t32" style="position:absolute;left:2852;top:4275;flip:x;height:1;width:4643;rotation:0f;" o:ole="f" fillcolor="#FFFFFF" filled="t" o:preferrelative="t" stroked="t" coordorigin="0,0" coordsize="21600,21600">
              <v:stroke color="#000000" color2="#FFFFFF" miterlimit="2" endarrow="block"/>
              <v:imagedata gain="65536f" blacklevel="0f" gamma="0"/>
              <o:lock v:ext="edit" position="f" selection="f" grouping="f" rotation="f" cropping="f" text="f" aspectratio="f"/>
            </v:shape>
            <v:shape id="AutoShape 633" o:spid="_x0000_s1037" type="#_x0000_t110" style="position:absolute;left:1363;top:5537;height:1883;width:2910;rotation:0f;" o:ole="f" fillcolor="#FFFFFF" filled="t" o:preferrelative="t" stroked="t" coordorigin="0,0" coordsize="21600,21600">
              <v:stroke color="#000000" color2="#FFFFFF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adjustRightInd w:val="0"/>
                      <w:snapToGrid w:val="0"/>
                    </w:pPr>
                    <w:r>
                      <w:rPr>
                        <w:rFonts w:hint="eastAsia"/>
                      </w:rPr>
                      <w:t>分支局受理、审查、审核</w:t>
                    </w:r>
                  </w:p>
                </w:txbxContent>
              </v:textbox>
            </v:shape>
          </v:group>
        </w:pict>
      </w:r>
    </w:p>
    <w:sectPr>
      <w:footerReference r:id="rId6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6</w:t>
    </w:r>
    <w:r>
      <w:rPr>
        <w:lang w:val="zh-CN"/>
      </w:rPr>
      <w:fldChar w:fldCharType="end"/>
    </w:r>
  </w:p>
  <w:p>
    <w:pPr>
      <w:pStyle w:val="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6</w:t>
    </w:r>
    <w:r>
      <w:rPr>
        <w:lang w:val="zh-CN"/>
      </w:rPr>
      <w:fldChar w:fldCharType="end"/>
    </w:r>
  </w:p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splitPgBreakAndParaMark/>
    <w:doNotExpandShiftReturn/>
    <w:adjustLineHeightInTable/>
    <w:useFELayout/>
    <w:doNotUseIndentAsNumberingTabStop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72A27"/>
    <w:rsid w:val="429D1DD8"/>
    <w:rsid w:val="64D32956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qFormat="1" w:unhideWhenUsed="0" w:uiPriority="0" w:name="footnote text"/>
    <w:lsdException w:uiPriority="99" w:semiHidden="0" w:name="annotation text"/>
    <w:lsdException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qFormat="1" w:uiPriority="0" w:semiHidden="0" w:name="footnote reference"/>
    <w:lsdException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semiHidden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99" w:semiHidden="0" w:name="HTML Preformatted"/>
    <w:lsdException w:uiPriority="0" w:name="HTML Sample"/>
    <w:lsdException w:uiPriority="0" w:name="HTML Typewriter"/>
    <w:lsdException w:uiPriority="0" w:name="HTML Variable"/>
    <w:lsdException w:uiPriority="0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semiHidden="0" w:name="Balloon Text"/>
    <w:lsdException w:uiPriority="0" w:name="Table Grid"/>
    <w:lsdException w:uiPriority="0" w:name="Table Theme"/>
    <w:lsdException w:uiPriority="0" w:name="Light Shading"/>
    <w:lsdException w:uiPriority="0" w:name="Light List"/>
    <w:lsdException w:uiPriority="0" w:name="Light Grid"/>
    <w:lsdException w:uiPriority="0" w:name="Medium Shading 1"/>
    <w:lsdException w:uiPriority="0" w:name="Medium Shading 2"/>
    <w:lsdException w:uiPriority="0" w:name="Medium List 1"/>
    <w:lsdException w:uiPriority="0" w:name="Medium List 2"/>
    <w:lsdException w:uiPriority="0" w:name="Medium Grid 1"/>
    <w:lsdException w:uiPriority="0" w:name="Medium Grid 2"/>
    <w:lsdException w:uiPriority="0" w:name="Medium Grid 3"/>
    <w:lsdException w:uiPriority="0" w:name="Dark List"/>
    <w:lsdException w:uiPriority="0" w:name="Colorful Shading"/>
    <w:lsdException w:uiPriority="0" w:name="Colorful List"/>
    <w:lsdException w:uiPriority="0" w:name="Colorful Grid"/>
    <w:lsdException w:uiPriority="0" w:name="Light Shading Accent 1"/>
    <w:lsdException w:uiPriority="0" w:name="Light List Accent 1"/>
    <w:lsdException w:uiPriority="0" w:name="Light Grid Accent 1"/>
    <w:lsdException w:uiPriority="0" w:name="Medium Shading 1 Accent 1"/>
    <w:lsdException w:uiPriority="0" w:name="Medium Shading 2 Accent 1"/>
    <w:lsdException w:uiPriority="0" w:name="Medium List 1 Accent 1"/>
    <w:lsdException w:uiPriority="0" w:name="Medium List 2 Accent 1"/>
    <w:lsdException w:uiPriority="0" w:name="Medium Grid 1 Accent 1"/>
    <w:lsdException w:uiPriority="0" w:name="Medium Grid 2 Accent 1"/>
    <w:lsdException w:uiPriority="0" w:name="Medium Grid 3 Accent 1"/>
    <w:lsdException w:uiPriority="0" w:name="Dark List Accent 1"/>
    <w:lsdException w:uiPriority="0" w:name="Colorful Shading Accent 1"/>
    <w:lsdException w:uiPriority="0" w:name="Colorful List Accent 1"/>
    <w:lsdException w:uiPriority="0" w:name="Colorful Grid Accent 1"/>
    <w:lsdException w:uiPriority="0" w:name="Light Shading Accent 2"/>
    <w:lsdException w:uiPriority="0" w:name="Light List Accent 2"/>
    <w:lsdException w:uiPriority="0" w:name="Light Grid Accent 2"/>
    <w:lsdException w:uiPriority="0" w:name="Medium Shading 1 Accent 2"/>
    <w:lsdException w:uiPriority="0" w:name="Medium Shading 2 Accent 2"/>
    <w:lsdException w:uiPriority="0" w:name="Medium List 1 Accent 2"/>
    <w:lsdException w:uiPriority="0" w:name="Medium List 2 Accent 2"/>
    <w:lsdException w:uiPriority="0" w:name="Medium Grid 1 Accent 2"/>
    <w:lsdException w:uiPriority="0" w:name="Medium Grid 2 Accent 2"/>
    <w:lsdException w:uiPriority="0" w:name="Medium Grid 3 Accent 2"/>
    <w:lsdException w:uiPriority="0" w:name="Dark List Accent 2"/>
    <w:lsdException w:uiPriority="0" w:name="Colorful Shading Accent 2"/>
    <w:lsdException w:uiPriority="0" w:name="Colorful List Accent 2"/>
    <w:lsdException w:uiPriority="0" w:name="Colorful Grid Accent 2"/>
    <w:lsdException w:uiPriority="0" w:name="Light Shading Accent 3"/>
    <w:lsdException w:uiPriority="0" w:name="Light List Accent 3"/>
    <w:lsdException w:uiPriority="0" w:name="Light Grid Accent 3"/>
    <w:lsdException w:uiPriority="0" w:name="Medium Shading 1 Accent 3"/>
    <w:lsdException w:uiPriority="0" w:name="Medium Shading 2 Accent 3"/>
    <w:lsdException w:uiPriority="0" w:name="Medium List 1 Accent 3"/>
    <w:lsdException w:uiPriority="0" w:name="Medium List 2 Accent 3"/>
    <w:lsdException w:uiPriority="0" w:name="Medium Grid 1 Accent 3"/>
    <w:lsdException w:uiPriority="0" w:name="Medium Grid 2 Accent 3"/>
    <w:lsdException w:uiPriority="0" w:name="Medium Grid 3 Accent 3"/>
    <w:lsdException w:uiPriority="0" w:name="Dark List Accent 3"/>
    <w:lsdException w:uiPriority="0" w:name="Colorful Shading Accent 3"/>
    <w:lsdException w:uiPriority="0" w:name="Colorful List Accent 3"/>
    <w:lsdException w:uiPriority="0" w:name="Colorful Grid Accent 3"/>
    <w:lsdException w:uiPriority="0" w:name="Light Shading Accent 4"/>
    <w:lsdException w:uiPriority="0" w:name="Light List Accent 4"/>
    <w:lsdException w:uiPriority="0" w:name="Light Grid Accent 4"/>
    <w:lsdException w:uiPriority="0" w:name="Medium Shading 1 Accent 4"/>
    <w:lsdException w:uiPriority="0" w:name="Medium Shading 2 Accent 4"/>
    <w:lsdException w:uiPriority="0" w:name="Medium List 1 Accent 4"/>
    <w:lsdException w:uiPriority="0" w:name="Medium List 2 Accent 4"/>
    <w:lsdException w:uiPriority="0" w:name="Medium Grid 1 Accent 4"/>
    <w:lsdException w:uiPriority="0" w:name="Medium Grid 2 Accent 4"/>
    <w:lsdException w:uiPriority="0" w:name="Medium Grid 3 Accent 4"/>
    <w:lsdException w:uiPriority="0" w:name="Dark List Accent 4"/>
    <w:lsdException w:uiPriority="0" w:name="Colorful Shading Accent 4"/>
    <w:lsdException w:uiPriority="0" w:name="Colorful List Accent 4"/>
    <w:lsdException w:uiPriority="0" w:name="Colorful Grid Accent 4"/>
    <w:lsdException w:uiPriority="0" w:name="Light Shading Accent 5"/>
    <w:lsdException w:uiPriority="0" w:name="Light List Accent 5"/>
    <w:lsdException w:uiPriority="0" w:name="Light Grid Accent 5"/>
    <w:lsdException w:uiPriority="0" w:name="Medium Shading 1 Accent 5"/>
    <w:lsdException w:uiPriority="0" w:name="Medium Shading 2 Accent 5"/>
    <w:lsdException w:uiPriority="0" w:name="Medium List 1 Accent 5"/>
    <w:lsdException w:uiPriority="0" w:name="Medium List 2 Accent 5"/>
    <w:lsdException w:uiPriority="0" w:name="Medium Grid 1 Accent 5"/>
    <w:lsdException w:uiPriority="0" w:name="Medium Grid 2 Accent 5"/>
    <w:lsdException w:uiPriority="0" w:name="Medium Grid 3 Accent 5"/>
    <w:lsdException w:uiPriority="0" w:name="Dark List Accent 5"/>
    <w:lsdException w:uiPriority="0" w:name="Colorful Shading Accent 5"/>
    <w:lsdException w:uiPriority="0" w:name="Colorful List Accent 5"/>
    <w:lsdException w:uiPriority="0" w:name="Colorful Grid Accent 5"/>
    <w:lsdException w:uiPriority="0" w:name="Light Shading Accent 6"/>
    <w:lsdException w:uiPriority="0" w:name="Light List Accent 6"/>
    <w:lsdException w:uiPriority="0" w:name="Light Grid Accent 6"/>
    <w:lsdException w:uiPriority="0" w:name="Medium Shading 1 Accent 6"/>
    <w:lsdException w:uiPriority="0" w:name="Medium Shading 2 Accent 6"/>
    <w:lsdException w:uiPriority="0" w:name="Medium List 1 Accent 6"/>
    <w:lsdException w:uiPriority="0" w:name="Medium List 2 Accent 6"/>
    <w:lsdException w:uiPriority="0" w:name="Medium Grid 1 Accent 6"/>
    <w:lsdException w:uiPriority="0" w:name="Medium Grid 2 Accent 6"/>
    <w:lsdException w:uiPriority="0" w:name="Medium Grid 3 Accent 6"/>
    <w:lsdException w:uiPriority="0" w:name="Dark List Accent 6"/>
    <w:lsdException w:uiPriority="0" w:name="Colorful Shading Accent 6"/>
    <w:lsdException w:uiPriority="0" w:name="Colorful List Accent 6"/>
    <w:lsdException w:uiPriority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2"/>
    <w:qFormat/>
    <w:uiPriority w:val="9"/>
    <w:pPr>
      <w:ind w:firstLine="600" w:firstLineChars="200"/>
      <w:outlineLvl w:val="0"/>
    </w:pPr>
    <w:rPr>
      <w:rFonts w:ascii="黑体" w:hAnsi="黑体" w:eastAsia="黑体" w:cs="宋体"/>
      <w:color w:val="000000"/>
      <w:kern w:val="0"/>
      <w:sz w:val="30"/>
      <w:szCs w:val="30"/>
    </w:rPr>
  </w:style>
  <w:style w:type="paragraph" w:styleId="3">
    <w:name w:val="heading 2"/>
    <w:basedOn w:val="1"/>
    <w:next w:val="1"/>
    <w:link w:val="33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cs="Times New Roman"/>
      <w:b/>
      <w:bCs/>
      <w:sz w:val="32"/>
      <w:szCs w:val="32"/>
    </w:rPr>
  </w:style>
  <w:style w:type="paragraph" w:styleId="4">
    <w:name w:val="heading 3"/>
    <w:basedOn w:val="1"/>
    <w:next w:val="1"/>
    <w:link w:val="34"/>
    <w:qFormat/>
    <w:uiPriority w:val="9"/>
    <w:pPr>
      <w:ind w:right="300"/>
      <w:outlineLvl w:val="2"/>
    </w:pPr>
    <w:rPr>
      <w:rFonts w:ascii="仿宋_GB2312" w:eastAsia="仿宋_GB2312" w:cs="Times New Roman"/>
      <w:sz w:val="30"/>
      <w:szCs w:val="30"/>
    </w:rPr>
  </w:style>
  <w:style w:type="character" w:default="1" w:styleId="13">
    <w:name w:val="Default Paragraph Font"/>
    <w:unhideWhenUsed/>
    <w:uiPriority w:val="1"/>
  </w:style>
  <w:style w:type="table" w:default="1" w:styleId="17">
    <w:name w:val="Normal Table"/>
    <w:unhideWhenUsed/>
    <w:uiPriority w:val="0"/>
    <w:tblPr>
      <w:tblStyle w:val="1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5">
    <w:name w:val="Document Map"/>
    <w:basedOn w:val="1"/>
    <w:link w:val="37"/>
    <w:unhideWhenUsed/>
    <w:uiPriority w:val="0"/>
    <w:rPr>
      <w:rFonts w:ascii="宋体"/>
      <w:sz w:val="18"/>
      <w:szCs w:val="18"/>
    </w:rPr>
  </w:style>
  <w:style w:type="paragraph" w:styleId="6">
    <w:name w:val="annotation text"/>
    <w:basedOn w:val="1"/>
    <w:link w:val="31"/>
    <w:unhideWhenUsed/>
    <w:uiPriority w:val="99"/>
    <w:pPr>
      <w:jc w:val="left"/>
    </w:pPr>
    <w:rPr>
      <w:rFonts w:cs="Times New Roman"/>
    </w:rPr>
  </w:style>
  <w:style w:type="paragraph" w:styleId="7">
    <w:name w:val="Balloon Text"/>
    <w:basedOn w:val="1"/>
    <w:link w:val="29"/>
    <w:unhideWhenUsed/>
    <w:uiPriority w:val="0"/>
    <w:rPr>
      <w:sz w:val="18"/>
      <w:szCs w:val="18"/>
    </w:rPr>
  </w:style>
  <w:style w:type="paragraph" w:styleId="8">
    <w:name w:val="footer"/>
    <w:basedOn w:val="1"/>
    <w:link w:val="2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footnote text"/>
    <w:basedOn w:val="1"/>
    <w:link w:val="35"/>
    <w:semiHidden/>
    <w:qFormat/>
    <w:uiPriority w:val="0"/>
    <w:pPr>
      <w:snapToGrid w:val="0"/>
      <w:jc w:val="left"/>
    </w:pPr>
    <w:rPr>
      <w:kern w:val="2"/>
      <w:sz w:val="18"/>
      <w:szCs w:val="18"/>
    </w:rPr>
  </w:style>
  <w:style w:type="paragraph" w:styleId="11">
    <w:name w:val="HTML Preformatted"/>
    <w:basedOn w:val="1"/>
    <w:link w:val="30"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1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4">
    <w:name w:val="Hyperlink"/>
    <w:basedOn w:val="13"/>
    <w:unhideWhenUsed/>
    <w:uiPriority w:val="99"/>
    <w:rPr>
      <w:rFonts w:hint="default" w:ascii="ˎ̥" w:hAnsi="ˎ̥"/>
      <w:color w:val="0453CC"/>
      <w:sz w:val="20"/>
      <w:szCs w:val="20"/>
      <w:u w:val="none"/>
    </w:rPr>
  </w:style>
  <w:style w:type="character" w:styleId="15">
    <w:name w:val="annotation reference"/>
    <w:basedOn w:val="13"/>
    <w:unhideWhenUsed/>
    <w:uiPriority w:val="0"/>
    <w:rPr>
      <w:sz w:val="21"/>
      <w:szCs w:val="21"/>
    </w:rPr>
  </w:style>
  <w:style w:type="character" w:styleId="16">
    <w:name w:val="footnote reference"/>
    <w:unhideWhenUsed/>
    <w:qFormat/>
    <w:uiPriority w:val="0"/>
    <w:rPr>
      <w:rFonts w:ascii="Times New Roman" w:hAnsi="Times New Roman" w:cs="Times New Roman"/>
      <w:vertAlign w:val="superscript"/>
    </w:rPr>
  </w:style>
  <w:style w:type="paragraph" w:customStyle="1" w:styleId="18">
    <w:name w:val="列出段落1"/>
    <w:basedOn w:val="1"/>
    <w:qFormat/>
    <w:uiPriority w:val="34"/>
    <w:pPr>
      <w:ind w:firstLine="420" w:firstLineChars="200"/>
    </w:pPr>
  </w:style>
  <w:style w:type="paragraph" w:customStyle="1" w:styleId="19">
    <w:name w:val="Default"/>
    <w:uiPriority w:val="99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20">
    <w:name w:val="juzhong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1">
    <w:name w:val="修订1"/>
    <w:hidden/>
    <w:semiHidden/>
    <w:qFormat/>
    <w:uiPriority w:val="99"/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customStyle="1" w:styleId="22">
    <w:name w:val="列出段落11"/>
    <w:basedOn w:val="1"/>
    <w:qFormat/>
    <w:uiPriority w:val="34"/>
    <w:pPr>
      <w:ind w:firstLine="420" w:firstLineChars="200"/>
    </w:pPr>
    <w:rPr>
      <w:rFonts w:cs="Times New Roman"/>
    </w:rPr>
  </w:style>
  <w:style w:type="paragraph" w:customStyle="1" w:styleId="23">
    <w:name w:val="列出段落4"/>
    <w:basedOn w:val="1"/>
    <w:qFormat/>
    <w:uiPriority w:val="0"/>
    <w:pPr>
      <w:ind w:firstLine="200" w:firstLineChars="200"/>
    </w:pPr>
    <w:rPr>
      <w:rFonts w:cs="Times New Roman"/>
    </w:rPr>
  </w:style>
  <w:style w:type="paragraph" w:customStyle="1" w:styleId="24">
    <w:name w:val="列出段落3"/>
    <w:basedOn w:val="1"/>
    <w:qFormat/>
    <w:uiPriority w:val="0"/>
    <w:pPr>
      <w:ind w:firstLine="420" w:firstLineChars="200"/>
    </w:pPr>
    <w:rPr>
      <w:rFonts w:ascii="Times New Roman" w:hAnsi="Times New Roman" w:cs="Times New Roman"/>
      <w:szCs w:val="24"/>
    </w:rPr>
  </w:style>
  <w:style w:type="paragraph" w:customStyle="1" w:styleId="25">
    <w:name w:val="p0"/>
    <w:basedOn w:val="1"/>
    <w:qFormat/>
    <w:uiPriority w:val="0"/>
    <w:pPr>
      <w:widowControl/>
    </w:pPr>
    <w:rPr>
      <w:rFonts w:cs="宋体"/>
      <w:kern w:val="0"/>
      <w:szCs w:val="21"/>
    </w:rPr>
  </w:style>
  <w:style w:type="character" w:customStyle="1" w:styleId="26">
    <w:name w:val="脚注文本 Char"/>
    <w:basedOn w:val="13"/>
    <w:semiHidden/>
    <w:qFormat/>
    <w:uiPriority w:val="99"/>
    <w:rPr>
      <w:kern w:val="2"/>
      <w:sz w:val="18"/>
      <w:szCs w:val="18"/>
    </w:rPr>
  </w:style>
  <w:style w:type="character" w:customStyle="1" w:styleId="27">
    <w:name w:val="页眉 Char Char"/>
    <w:basedOn w:val="13"/>
    <w:link w:val="9"/>
    <w:uiPriority w:val="99"/>
    <w:rPr>
      <w:sz w:val="18"/>
      <w:szCs w:val="18"/>
    </w:rPr>
  </w:style>
  <w:style w:type="character" w:customStyle="1" w:styleId="28">
    <w:name w:val="页脚 Char Char"/>
    <w:basedOn w:val="13"/>
    <w:link w:val="8"/>
    <w:uiPriority w:val="99"/>
    <w:rPr>
      <w:sz w:val="18"/>
      <w:szCs w:val="18"/>
    </w:rPr>
  </w:style>
  <w:style w:type="character" w:customStyle="1" w:styleId="29">
    <w:name w:val="批注框文本 Char Char"/>
    <w:basedOn w:val="13"/>
    <w:link w:val="7"/>
    <w:uiPriority w:val="0"/>
    <w:rPr>
      <w:sz w:val="18"/>
      <w:szCs w:val="18"/>
    </w:rPr>
  </w:style>
  <w:style w:type="character" w:customStyle="1" w:styleId="30">
    <w:name w:val="HTML 预设格式 Char Char"/>
    <w:basedOn w:val="13"/>
    <w:link w:val="11"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31">
    <w:name w:val="批注文字 Char Char"/>
    <w:basedOn w:val="13"/>
    <w:link w:val="6"/>
    <w:uiPriority w:val="0"/>
    <w:rPr>
      <w:rFonts w:ascii="Calibri" w:hAnsi="Calibri" w:eastAsia="宋体" w:cs="Times New Roman"/>
    </w:rPr>
  </w:style>
  <w:style w:type="character" w:customStyle="1" w:styleId="32">
    <w:name w:val="标题 1 Char Char"/>
    <w:basedOn w:val="13"/>
    <w:link w:val="2"/>
    <w:uiPriority w:val="9"/>
    <w:rPr>
      <w:rFonts w:ascii="黑体" w:hAnsi="黑体" w:eastAsia="黑体" w:cs="宋体"/>
      <w:color w:val="000000"/>
      <w:kern w:val="0"/>
      <w:sz w:val="30"/>
      <w:szCs w:val="30"/>
    </w:rPr>
  </w:style>
  <w:style w:type="character" w:customStyle="1" w:styleId="33">
    <w:name w:val="标题 2 Char Char"/>
    <w:basedOn w:val="13"/>
    <w:link w:val="3"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34">
    <w:name w:val="标题 3 Char Char"/>
    <w:basedOn w:val="13"/>
    <w:link w:val="4"/>
    <w:uiPriority w:val="9"/>
    <w:rPr>
      <w:rFonts w:ascii="仿宋_GB2312" w:hAnsi="Calibri" w:eastAsia="仿宋_GB2312" w:cs="Times New Roman"/>
      <w:sz w:val="30"/>
      <w:szCs w:val="30"/>
    </w:rPr>
  </w:style>
  <w:style w:type="character" w:customStyle="1" w:styleId="35">
    <w:name w:val="脚注文本 Char1"/>
    <w:basedOn w:val="13"/>
    <w:link w:val="10"/>
    <w:uiPriority w:val="0"/>
    <w:rPr>
      <w:rFonts w:ascii="Times New Roman" w:hAnsi="Times New Roman"/>
      <w:sz w:val="18"/>
      <w:szCs w:val="18"/>
    </w:rPr>
  </w:style>
  <w:style w:type="character" w:customStyle="1" w:styleId="36">
    <w:name w:val="标题 4 Char Char"/>
    <w:qFormat/>
    <w:uiPriority w:val="0"/>
    <w:rPr>
      <w:rFonts w:ascii="Calibri" w:hAnsi="Calibri"/>
      <w:b/>
      <w:bCs/>
      <w:sz w:val="28"/>
      <w:szCs w:val="28"/>
      <w:lang w:eastAsia="en-US" w:bidi="en-US"/>
    </w:rPr>
  </w:style>
  <w:style w:type="character" w:customStyle="1" w:styleId="37">
    <w:name w:val="文档结构图 Char Char"/>
    <w:basedOn w:val="13"/>
    <w:link w:val="5"/>
    <w:uiPriority w:val="0"/>
    <w:rPr>
      <w:rFonts w:ascii="宋体"/>
      <w:sz w:val="18"/>
      <w:szCs w:val="18"/>
    </w:rPr>
  </w:style>
  <w:style w:type="character" w:customStyle="1" w:styleId="38">
    <w:name w:val="批注文字 Char1"/>
    <w:basedOn w:val="13"/>
    <w:semiHidden/>
    <w:qFormat/>
    <w:uiPriority w:val="99"/>
    <w:rPr>
      <w:kern w:val="2"/>
      <w:sz w:val="21"/>
      <w:szCs w:val="22"/>
    </w:rPr>
  </w:style>
  <w:style w:type="character" w:customStyle="1" w:styleId="39">
    <w:name w:val="明显强调1"/>
    <w:basedOn w:val="13"/>
    <w:qFormat/>
    <w:uiPriority w:val="21"/>
    <w:rPr>
      <w:b/>
      <w:bCs/>
      <w:i/>
      <w:iCs/>
      <w:color w:val="4F81BD"/>
    </w:rPr>
  </w:style>
  <w:style w:type="character" w:customStyle="1" w:styleId="40">
    <w:name w:val="文档结构图 Char1"/>
    <w:basedOn w:val="13"/>
    <w:semiHidden/>
    <w:qFormat/>
    <w:uiPriority w:val="99"/>
    <w:rPr>
      <w:rFonts w:ascii="宋体" w:eastAsia="宋体"/>
      <w:sz w:val="18"/>
      <w:szCs w:val="18"/>
    </w:rPr>
  </w:style>
  <w:style w:type="character" w:customStyle="1" w:styleId="41">
    <w:name w:val="脚注文本 Char2"/>
    <w:basedOn w:val="13"/>
    <w:semiHidden/>
    <w:qFormat/>
    <w:uiPriority w:val="99"/>
    <w:rPr>
      <w:sz w:val="18"/>
      <w:szCs w:val="18"/>
    </w:rPr>
  </w:style>
  <w:style w:type="character" w:customStyle="1" w:styleId="42">
    <w:name w:val="font11"/>
    <w:uiPriority w:val="0"/>
    <w:rPr>
      <w:rFonts w:hint="eastAsia" w:ascii="仿宋" w:hAnsi="仿宋" w:eastAsia="仿宋" w:cs="仿宋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263</Words>
  <Characters>1504</Characters>
  <Lines>12</Lines>
  <Paragraphs>3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2020-02-27T03:48:00Z</dcterms:created>
  <dc:creator>裴建君2</dc:creator>
  <cp:lastModifiedBy>sun</cp:lastModifiedBy>
  <cp:lastPrinted>2020-09-23T02:38:00Z</cp:lastPrinted>
  <dcterms:modified xsi:type="dcterms:W3CDTF">2021-02-20T08:55:37Z</dcterms:modified>
  <dc:title>编号：57016               _x0001_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