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D5" w:rsidRDefault="004B5CA9">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57013</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AD57D5" w:rsidRDefault="00AD57D5">
      <w:pPr>
        <w:ind w:right="300"/>
        <w:jc w:val="center"/>
        <w:rPr>
          <w:rFonts w:ascii="Times New Roman" w:eastAsia="黑体" w:hAnsi="Times New Roman" w:cs="Times New Roman"/>
          <w:sz w:val="30"/>
          <w:szCs w:val="30"/>
        </w:rPr>
      </w:pPr>
    </w:p>
    <w:p w:rsidR="00AD57D5" w:rsidRDefault="00AD57D5">
      <w:pPr>
        <w:ind w:right="300"/>
        <w:jc w:val="center"/>
        <w:rPr>
          <w:rFonts w:ascii="Times New Roman" w:eastAsia="黑体" w:hAnsi="Times New Roman" w:cs="Times New Roman"/>
          <w:sz w:val="30"/>
          <w:szCs w:val="30"/>
        </w:rPr>
      </w:pPr>
    </w:p>
    <w:p w:rsidR="00AD57D5" w:rsidRDefault="00AD57D5">
      <w:pPr>
        <w:ind w:right="300"/>
        <w:jc w:val="center"/>
        <w:rPr>
          <w:rFonts w:ascii="Times New Roman" w:eastAsia="黑体" w:hAnsi="Times New Roman" w:cs="Times New Roman"/>
          <w:sz w:val="30"/>
          <w:szCs w:val="30"/>
        </w:rPr>
      </w:pPr>
    </w:p>
    <w:p w:rsidR="00AD57D5" w:rsidRDefault="00AD57D5">
      <w:pPr>
        <w:ind w:right="300"/>
        <w:jc w:val="center"/>
        <w:rPr>
          <w:rFonts w:ascii="Times New Roman" w:eastAsia="黑体" w:hAnsi="Times New Roman" w:cs="Times New Roman"/>
          <w:sz w:val="52"/>
          <w:szCs w:val="52"/>
        </w:rPr>
      </w:pPr>
    </w:p>
    <w:p w:rsidR="00AD57D5" w:rsidRDefault="004B5CA9">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银行、农村信用社、兑换机构及非金融机构等结汇、售汇业务市场准入、退出审批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w:t>
      </w:r>
    </w:p>
    <w:p w:rsidR="00AD57D5" w:rsidRDefault="004B5CA9">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服务指南</w:t>
      </w:r>
    </w:p>
    <w:p w:rsidR="00AD57D5" w:rsidRDefault="00AD57D5">
      <w:pPr>
        <w:ind w:right="300"/>
        <w:jc w:val="center"/>
        <w:rPr>
          <w:rFonts w:ascii="Times New Roman" w:eastAsia="仿宋_GB2312" w:hAnsi="Times New Roman" w:cs="Times New Roman"/>
          <w:sz w:val="30"/>
          <w:szCs w:val="30"/>
        </w:rPr>
      </w:pPr>
    </w:p>
    <w:p w:rsidR="00AD57D5" w:rsidRDefault="00AD57D5">
      <w:pPr>
        <w:ind w:right="300"/>
        <w:jc w:val="center"/>
        <w:rPr>
          <w:rFonts w:ascii="Times New Roman" w:eastAsia="仿宋_GB2312" w:hAnsi="Times New Roman" w:cs="Times New Roman"/>
          <w:sz w:val="30"/>
          <w:szCs w:val="30"/>
        </w:rPr>
      </w:pPr>
    </w:p>
    <w:p w:rsidR="00AD57D5" w:rsidRDefault="00AD57D5">
      <w:pPr>
        <w:ind w:right="300"/>
        <w:jc w:val="center"/>
        <w:rPr>
          <w:rFonts w:ascii="Times New Roman" w:eastAsia="仿宋_GB2312" w:hAnsi="Times New Roman" w:cs="Times New Roman"/>
          <w:sz w:val="30"/>
          <w:szCs w:val="30"/>
        </w:rPr>
      </w:pPr>
    </w:p>
    <w:p w:rsidR="00AD57D5" w:rsidRDefault="00AD57D5">
      <w:pPr>
        <w:ind w:right="300"/>
        <w:jc w:val="center"/>
        <w:rPr>
          <w:rFonts w:ascii="Times New Roman" w:eastAsia="仿宋_GB2312" w:hAnsi="Times New Roman" w:cs="Times New Roman"/>
          <w:sz w:val="30"/>
          <w:szCs w:val="30"/>
        </w:rPr>
      </w:pPr>
    </w:p>
    <w:p w:rsidR="00AD57D5" w:rsidRDefault="00AD57D5">
      <w:pPr>
        <w:ind w:right="300"/>
        <w:jc w:val="center"/>
        <w:rPr>
          <w:rFonts w:ascii="Times New Roman" w:eastAsia="仿宋_GB2312" w:hAnsi="Times New Roman" w:cs="Times New Roman"/>
          <w:sz w:val="30"/>
          <w:szCs w:val="30"/>
        </w:rPr>
      </w:pPr>
    </w:p>
    <w:p w:rsidR="00AD57D5" w:rsidRDefault="00AD57D5">
      <w:pPr>
        <w:ind w:right="300"/>
        <w:jc w:val="center"/>
        <w:rPr>
          <w:rFonts w:ascii="Times New Roman" w:eastAsia="仿宋_GB2312" w:hAnsi="Times New Roman" w:cs="Times New Roman"/>
          <w:sz w:val="30"/>
          <w:szCs w:val="30"/>
        </w:rPr>
      </w:pPr>
    </w:p>
    <w:p w:rsidR="00AD57D5" w:rsidRDefault="004B5CA9">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28</w:t>
      </w:r>
      <w:r>
        <w:rPr>
          <w:rFonts w:ascii="Times New Roman" w:eastAsia="仿宋_GB2312" w:hAnsi="Times New Roman" w:cs="Times New Roman"/>
          <w:sz w:val="30"/>
          <w:szCs w:val="30"/>
        </w:rPr>
        <w:t>日</w:t>
      </w:r>
    </w:p>
    <w:p w:rsidR="00AD57D5" w:rsidRDefault="004B5CA9">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28</w:t>
      </w:r>
      <w:r>
        <w:rPr>
          <w:rFonts w:ascii="Times New Roman" w:eastAsia="仿宋_GB2312" w:hAnsi="Times New Roman" w:cs="Times New Roman"/>
          <w:sz w:val="30"/>
          <w:szCs w:val="30"/>
        </w:rPr>
        <w:t>日</w:t>
      </w:r>
    </w:p>
    <w:p w:rsidR="00AD57D5" w:rsidRDefault="004B5CA9">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AD57D5" w:rsidRDefault="00AD57D5">
      <w:pPr>
        <w:ind w:right="300"/>
        <w:rPr>
          <w:rFonts w:ascii="Times New Roman" w:eastAsia="仿宋_GB2312" w:hAnsi="Times New Roman" w:cs="Times New Roman"/>
          <w:sz w:val="30"/>
          <w:szCs w:val="30"/>
        </w:rPr>
      </w:pPr>
    </w:p>
    <w:p w:rsidR="00AD57D5" w:rsidRDefault="00AD57D5">
      <w:pPr>
        <w:ind w:right="300"/>
        <w:rPr>
          <w:rFonts w:ascii="Times New Roman" w:eastAsia="仿宋_GB2312" w:hAnsi="Times New Roman" w:cs="Times New Roman"/>
          <w:sz w:val="30"/>
          <w:szCs w:val="30"/>
        </w:rPr>
        <w:sectPr w:rsidR="00AD57D5">
          <w:footerReference w:type="default" r:id="rId8"/>
          <w:pgSz w:w="11906" w:h="16838"/>
          <w:pgMar w:top="1440" w:right="1800" w:bottom="1440" w:left="1800" w:header="851" w:footer="992" w:gutter="0"/>
          <w:cols w:space="720"/>
          <w:docGrid w:type="lines" w:linePitch="312"/>
        </w:sectPr>
      </w:pPr>
    </w:p>
    <w:p w:rsidR="00AD57D5" w:rsidRDefault="004B5CA9">
      <w:pPr>
        <w:adjustRightInd w:val="0"/>
        <w:snapToGrid w:val="0"/>
        <w:spacing w:line="360" w:lineRule="auto"/>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AD57D5" w:rsidRDefault="004B5CA9">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项目名称：银行、农村信用社、兑换机构及非金融机构等结汇、售汇业务市场准入、退出审批；</w:t>
      </w:r>
    </w:p>
    <w:p w:rsidR="00AD57D5" w:rsidRDefault="004B5CA9">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57013</w:t>
      </w:r>
      <w:r>
        <w:rPr>
          <w:rFonts w:ascii="Times New Roman" w:eastAsia="仿宋_GB2312" w:hAnsi="Times New Roman" w:cs="Times New Roman"/>
          <w:sz w:val="30"/>
          <w:szCs w:val="30"/>
        </w:rPr>
        <w:t>；</w:t>
      </w:r>
    </w:p>
    <w:p w:rsidR="00AD57D5" w:rsidRDefault="004B5CA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AD57D5" w:rsidRDefault="004B5CA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AD57D5" w:rsidRDefault="004B5CA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银行、农村信用社、兑换机构及非金融机构等结汇、售汇业务市场准入、退出审批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AD57D5" w:rsidRDefault="004B5CA9">
      <w:pPr>
        <w:tabs>
          <w:tab w:val="left" w:pos="3718"/>
        </w:tabs>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r>
        <w:rPr>
          <w:rFonts w:ascii="Times New Roman" w:eastAsia="黑体" w:hAnsi="Times New Roman" w:cs="Times New Roman"/>
          <w:sz w:val="30"/>
          <w:szCs w:val="30"/>
        </w:rPr>
        <w:tab/>
      </w:r>
    </w:p>
    <w:p w:rsidR="00AD57D5" w:rsidRDefault="004B5CA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AD57D5" w:rsidRDefault="004B5CA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w:t>
      </w:r>
      <w:r>
        <w:rPr>
          <w:rFonts w:ascii="Times New Roman" w:eastAsia="仿宋_GB2312" w:hAnsi="Times New Roman" w:cs="Times New Roman"/>
          <w:sz w:val="30"/>
          <w:szCs w:val="30"/>
        </w:rPr>
        <w:t>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号）第五十三条：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AD57D5" w:rsidRDefault="004B5CA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四、银行（含农村信用社）人民币与外汇衍生产品业务市场准入</w:t>
      </w:r>
    </w:p>
    <w:p w:rsidR="00AD57D5" w:rsidRDefault="004B5CA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AD57D5" w:rsidRDefault="004B5CA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AD57D5" w:rsidRDefault="004B5CA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《银行办理结售汇业务管理办法》（中国人民银行令</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第</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号）；</w:t>
      </w:r>
    </w:p>
    <w:p w:rsidR="00AD57D5" w:rsidRDefault="004B5CA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《国家外汇管理局关于印发〈银行办理结售汇业务管理办</w:t>
      </w:r>
      <w:r>
        <w:rPr>
          <w:rFonts w:ascii="Times New Roman" w:eastAsia="仿宋_GB2312" w:hAnsi="Times New Roman" w:cs="Times New Roman"/>
          <w:sz w:val="30"/>
          <w:szCs w:val="30"/>
        </w:rPr>
        <w:lastRenderedPageBreak/>
        <w:t>法实施细则〉的通知》（汇发</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53</w:t>
      </w:r>
      <w:r>
        <w:rPr>
          <w:rFonts w:ascii="Times New Roman" w:eastAsia="仿宋_GB2312" w:hAnsi="Times New Roman" w:cs="Times New Roman"/>
          <w:sz w:val="30"/>
          <w:szCs w:val="30"/>
        </w:rPr>
        <w:t>号）。</w:t>
      </w:r>
    </w:p>
    <w:p w:rsidR="00AD57D5" w:rsidRDefault="004B5CA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AD57D5" w:rsidRDefault="004B5CA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仅适用于总行。</w:t>
      </w:r>
    </w:p>
    <w:p w:rsidR="00AD57D5" w:rsidRDefault="004B5CA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政策性银</w:t>
      </w:r>
      <w:r>
        <w:rPr>
          <w:rFonts w:ascii="Times New Roman" w:eastAsia="仿宋_GB2312" w:hAnsi="Times New Roman" w:cs="Times New Roman"/>
          <w:sz w:val="30"/>
          <w:szCs w:val="30"/>
        </w:rPr>
        <w:t>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rsidR="00AD57D5" w:rsidRDefault="004B5CA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AD57D5" w:rsidRDefault="004B5CA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政策性银行、全国性商业银行决定机构为国家外汇管理局；其他银行决定机构为所在地国家外汇管理局分局（外汇管理部）。外国银行分行视同总行管理。</w:t>
      </w:r>
    </w:p>
    <w:p w:rsidR="00AD57D5" w:rsidRDefault="004B5CA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AD57D5" w:rsidRDefault="004B5CA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AD57D5" w:rsidRDefault="004B5CA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AD57D5" w:rsidRDefault="004B5CA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申请人需同时符合以下条件：</w:t>
      </w:r>
    </w:p>
    <w:p w:rsidR="00AD57D5" w:rsidRDefault="004B5CA9">
      <w:pPr>
        <w:pStyle w:val="aa"/>
        <w:widowControl w:val="0"/>
        <w:adjustRightInd w:val="0"/>
        <w:snapToGri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kern w:val="2"/>
          <w:sz w:val="30"/>
          <w:szCs w:val="30"/>
        </w:rPr>
        <w:t>取得即期结售汇业务资格。</w:t>
      </w:r>
    </w:p>
    <w:p w:rsidR="00AD57D5" w:rsidRDefault="004B5CA9">
      <w:pPr>
        <w:pStyle w:val="aa"/>
        <w:widowControl w:val="0"/>
        <w:adjustRightInd w:val="0"/>
        <w:snapToGri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有健全的衍生产品交易风险管理制度和内部控制制度及适当的风险识别、计量、管理和交易系统，配备开展衍生产品业务所需要的专业人员。</w:t>
      </w:r>
    </w:p>
    <w:p w:rsidR="00AD57D5" w:rsidRDefault="004B5CA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符合银行业监督管理部门有关金融衍生产品交易业务资格的规定。</w:t>
      </w:r>
    </w:p>
    <w:p w:rsidR="00AD57D5" w:rsidRDefault="004B5CA9">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960"/>
        <w:gridCol w:w="457"/>
        <w:gridCol w:w="851"/>
        <w:gridCol w:w="2977"/>
        <w:gridCol w:w="1064"/>
      </w:tblGrid>
      <w:tr w:rsidR="00AD57D5">
        <w:tc>
          <w:tcPr>
            <w:tcW w:w="817" w:type="dxa"/>
            <w:vAlign w:val="center"/>
          </w:tcPr>
          <w:p w:rsidR="00AD57D5" w:rsidRDefault="004B5CA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276" w:type="dxa"/>
            <w:vAlign w:val="center"/>
          </w:tcPr>
          <w:p w:rsidR="00AD57D5" w:rsidRDefault="004B5CA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w:t>
            </w:r>
            <w:r>
              <w:rPr>
                <w:rFonts w:ascii="Times New Roman" w:eastAsia="仿宋_GB2312" w:hAnsi="Times New Roman" w:cs="Times New Roman"/>
                <w:b/>
                <w:sz w:val="24"/>
                <w:szCs w:val="24"/>
              </w:rPr>
              <w:lastRenderedPageBreak/>
              <w:t>名称</w:t>
            </w:r>
          </w:p>
        </w:tc>
        <w:tc>
          <w:tcPr>
            <w:tcW w:w="960" w:type="dxa"/>
            <w:vAlign w:val="center"/>
          </w:tcPr>
          <w:p w:rsidR="00AD57D5" w:rsidRDefault="004B5CA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lastRenderedPageBreak/>
              <w:t>复印件</w:t>
            </w:r>
          </w:p>
        </w:tc>
        <w:tc>
          <w:tcPr>
            <w:tcW w:w="457" w:type="dxa"/>
            <w:vAlign w:val="center"/>
          </w:tcPr>
          <w:p w:rsidR="00AD57D5" w:rsidRDefault="004B5CA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份</w:t>
            </w:r>
            <w:r>
              <w:rPr>
                <w:rFonts w:ascii="Times New Roman" w:eastAsia="仿宋_GB2312" w:hAnsi="Times New Roman" w:cs="Times New Roman"/>
                <w:b/>
                <w:sz w:val="24"/>
                <w:szCs w:val="24"/>
              </w:rPr>
              <w:lastRenderedPageBreak/>
              <w:t>数</w:t>
            </w:r>
          </w:p>
        </w:tc>
        <w:tc>
          <w:tcPr>
            <w:tcW w:w="851" w:type="dxa"/>
            <w:vAlign w:val="center"/>
          </w:tcPr>
          <w:p w:rsidR="00AD57D5" w:rsidRDefault="004B5CA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lastRenderedPageBreak/>
              <w:t>电子</w:t>
            </w:r>
          </w:p>
        </w:tc>
        <w:tc>
          <w:tcPr>
            <w:tcW w:w="2977" w:type="dxa"/>
            <w:vAlign w:val="center"/>
          </w:tcPr>
          <w:p w:rsidR="00AD57D5" w:rsidRDefault="004B5CA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要求</w:t>
            </w:r>
          </w:p>
        </w:tc>
        <w:tc>
          <w:tcPr>
            <w:tcW w:w="1064" w:type="dxa"/>
            <w:vAlign w:val="center"/>
          </w:tcPr>
          <w:p w:rsidR="00AD57D5" w:rsidRDefault="004B5CA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AD57D5">
        <w:tc>
          <w:tcPr>
            <w:tcW w:w="817"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1276"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申请报告、可行性报告及业务计划书</w:t>
            </w:r>
          </w:p>
        </w:tc>
        <w:tc>
          <w:tcPr>
            <w:tcW w:w="960"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AD57D5" w:rsidRDefault="00AD57D5">
            <w:pPr>
              <w:jc w:val="left"/>
              <w:rPr>
                <w:rFonts w:ascii="Times New Roman" w:eastAsia="仿宋_GB2312" w:hAnsi="Times New Roman" w:cs="Times New Roman"/>
                <w:b/>
                <w:bCs/>
                <w:kern w:val="44"/>
                <w:sz w:val="24"/>
                <w:szCs w:val="24"/>
              </w:rPr>
            </w:pPr>
          </w:p>
        </w:tc>
        <w:tc>
          <w:tcPr>
            <w:tcW w:w="1064" w:type="dxa"/>
            <w:vAlign w:val="center"/>
          </w:tcPr>
          <w:p w:rsidR="00AD57D5" w:rsidRDefault="00AD57D5">
            <w:pPr>
              <w:jc w:val="left"/>
              <w:rPr>
                <w:rFonts w:ascii="Times New Roman" w:eastAsia="仿宋_GB2312" w:hAnsi="Times New Roman" w:cs="Times New Roman"/>
                <w:b/>
                <w:bCs/>
                <w:kern w:val="44"/>
                <w:sz w:val="24"/>
                <w:szCs w:val="24"/>
              </w:rPr>
            </w:pPr>
          </w:p>
        </w:tc>
      </w:tr>
      <w:tr w:rsidR="00AD57D5">
        <w:tc>
          <w:tcPr>
            <w:tcW w:w="817"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276"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衍生产品业务内部管理规章制度</w:t>
            </w:r>
          </w:p>
        </w:tc>
        <w:tc>
          <w:tcPr>
            <w:tcW w:w="960"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AD57D5" w:rsidRDefault="004B5CA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应当至少包括以下内容：</w:t>
            </w:r>
          </w:p>
          <w:p w:rsidR="00AD57D5" w:rsidRDefault="004B5CA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．业务操作规程，包括交易受理、客户评估、单证审核等业务流程和操作标准；</w:t>
            </w:r>
            <w:r>
              <w:rPr>
                <w:rFonts w:ascii="Times New Roman" w:eastAsia="仿宋_GB2312" w:hAnsi="Times New Roman" w:cs="Times New Roman"/>
                <w:sz w:val="24"/>
                <w:szCs w:val="24"/>
              </w:rPr>
              <w:t>2</w:t>
            </w:r>
            <w:r>
              <w:rPr>
                <w:rFonts w:ascii="Times New Roman" w:eastAsia="仿宋_GB2312" w:hAnsi="Times New Roman" w:cs="Times New Roman"/>
                <w:sz w:val="24"/>
                <w:szCs w:val="24"/>
              </w:rPr>
              <w:t>．产品定价模型，包括定价方法和各项参数的选取标准及来源；</w:t>
            </w:r>
          </w:p>
          <w:p w:rsidR="00AD57D5" w:rsidRDefault="004B5CA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．风险管理制度，包括风险管理架构、风险模型指标及量化管理指标、风险缓释措施、头寸平盘机制；</w:t>
            </w:r>
            <w:r>
              <w:rPr>
                <w:rFonts w:ascii="Times New Roman" w:eastAsia="仿宋_GB2312" w:hAnsi="Times New Roman" w:cs="Times New Roman"/>
                <w:sz w:val="24"/>
                <w:szCs w:val="24"/>
              </w:rPr>
              <w:t></w:t>
            </w:r>
          </w:p>
          <w:p w:rsidR="00AD57D5" w:rsidRDefault="004B5CA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．会计核算制度，包括科目设置和会计核算方法；</w:t>
            </w:r>
          </w:p>
          <w:p w:rsidR="00AD57D5" w:rsidRDefault="004B5CA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．统计报告制度，包括数据采集渠道和操作程序。</w:t>
            </w:r>
          </w:p>
        </w:tc>
        <w:tc>
          <w:tcPr>
            <w:tcW w:w="1064" w:type="dxa"/>
            <w:vAlign w:val="center"/>
          </w:tcPr>
          <w:p w:rsidR="00AD57D5" w:rsidRDefault="004B5CA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银行应当根据拟开办各类衍生产品业务的实际特征，提交具有针对性与适用性的文件和资料。</w:t>
            </w:r>
          </w:p>
        </w:tc>
      </w:tr>
      <w:tr w:rsidR="00AD57D5">
        <w:tc>
          <w:tcPr>
            <w:tcW w:w="817"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276"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主管人员和主要交易人员名单、履历。</w:t>
            </w:r>
          </w:p>
        </w:tc>
        <w:tc>
          <w:tcPr>
            <w:tcW w:w="960"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AD57D5" w:rsidRDefault="00AD57D5">
            <w:pPr>
              <w:jc w:val="center"/>
              <w:rPr>
                <w:rFonts w:ascii="Times New Roman" w:eastAsia="仿宋_GB2312" w:hAnsi="Times New Roman" w:cs="Times New Roman"/>
                <w:b/>
                <w:bCs/>
                <w:kern w:val="44"/>
                <w:sz w:val="24"/>
                <w:szCs w:val="24"/>
              </w:rPr>
            </w:pPr>
          </w:p>
        </w:tc>
        <w:tc>
          <w:tcPr>
            <w:tcW w:w="1064" w:type="dxa"/>
            <w:vAlign w:val="center"/>
          </w:tcPr>
          <w:p w:rsidR="00AD57D5" w:rsidRDefault="00AD57D5">
            <w:pPr>
              <w:jc w:val="center"/>
              <w:rPr>
                <w:rFonts w:ascii="Times New Roman" w:eastAsia="仿宋_GB2312" w:hAnsi="Times New Roman" w:cs="Times New Roman"/>
                <w:b/>
                <w:bCs/>
                <w:kern w:val="44"/>
                <w:sz w:val="24"/>
                <w:szCs w:val="24"/>
              </w:rPr>
            </w:pPr>
          </w:p>
        </w:tc>
      </w:tr>
      <w:tr w:rsidR="00AD57D5">
        <w:tc>
          <w:tcPr>
            <w:tcW w:w="817"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276"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符合银行业监督管理部门有关金融衍生产品交易业务资格规定的证明文件。</w:t>
            </w:r>
          </w:p>
        </w:tc>
        <w:tc>
          <w:tcPr>
            <w:tcW w:w="960"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w:t>
            </w:r>
            <w:r>
              <w:rPr>
                <w:rFonts w:ascii="Times New Roman" w:eastAsia="仿宋_GB2312" w:hAnsi="Times New Roman" w:cs="Times New Roman" w:hint="eastAsia"/>
                <w:sz w:val="24"/>
                <w:szCs w:val="24"/>
              </w:rPr>
              <w:t>银行</w:t>
            </w:r>
            <w:r>
              <w:rPr>
                <w:rFonts w:ascii="Times New Roman" w:eastAsia="仿宋_GB2312" w:hAnsi="Times New Roman" w:cs="Times New Roman"/>
                <w:sz w:val="24"/>
                <w:szCs w:val="24"/>
              </w:rPr>
              <w:t>公章的复印件</w:t>
            </w:r>
          </w:p>
        </w:tc>
        <w:tc>
          <w:tcPr>
            <w:tcW w:w="457"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AD57D5" w:rsidRDefault="004B5CA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AD57D5" w:rsidRDefault="00AD57D5">
            <w:pPr>
              <w:jc w:val="center"/>
              <w:rPr>
                <w:rFonts w:ascii="Times New Roman" w:eastAsia="仿宋_GB2312" w:hAnsi="Times New Roman" w:cs="Times New Roman"/>
                <w:b/>
                <w:bCs/>
                <w:kern w:val="44"/>
                <w:sz w:val="24"/>
                <w:szCs w:val="24"/>
              </w:rPr>
            </w:pPr>
          </w:p>
        </w:tc>
        <w:tc>
          <w:tcPr>
            <w:tcW w:w="1064" w:type="dxa"/>
            <w:vAlign w:val="center"/>
          </w:tcPr>
          <w:p w:rsidR="00AD57D5" w:rsidRDefault="00AD57D5">
            <w:pPr>
              <w:jc w:val="center"/>
              <w:rPr>
                <w:rFonts w:ascii="Times New Roman" w:eastAsia="仿宋_GB2312" w:hAnsi="Times New Roman" w:cs="Times New Roman"/>
                <w:b/>
                <w:bCs/>
                <w:kern w:val="44"/>
                <w:sz w:val="24"/>
                <w:szCs w:val="24"/>
              </w:rPr>
            </w:pPr>
          </w:p>
        </w:tc>
      </w:tr>
    </w:tbl>
    <w:p w:rsidR="00AD57D5" w:rsidRDefault="004B5CA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AD57D5" w:rsidRDefault="003407D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申请人可通过窗口、邮寄</w:t>
      </w:r>
      <w:r>
        <w:rPr>
          <w:rFonts w:ascii="Times New Roman" w:eastAsia="仿宋_GB2312" w:hAnsi="Times New Roman" w:cs="Times New Roman" w:hint="eastAsia"/>
          <w:sz w:val="30"/>
          <w:szCs w:val="30"/>
        </w:rPr>
        <w:t>、国家外汇管理局政务服务网上办理系统（</w:t>
      </w:r>
      <w:r>
        <w:rPr>
          <w:rFonts w:ascii="Times New Roman" w:eastAsia="仿宋_GB2312" w:hAnsi="Times New Roman" w:cs="Times New Roman" w:hint="eastAsia"/>
          <w:sz w:val="30"/>
          <w:szCs w:val="30"/>
        </w:rPr>
        <w:t>http://zwfw.safe.gov.cn/asone</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等方式提交材料。</w:t>
      </w:r>
    </w:p>
    <w:p w:rsidR="00AD57D5" w:rsidRDefault="004B5CA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AD57D5" w:rsidRDefault="004B5CA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AD57D5" w:rsidRDefault="004B5CA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2.</w:t>
      </w:r>
      <w:r>
        <w:rPr>
          <w:rFonts w:ascii="Times New Roman" w:eastAsia="仿宋_GB2312" w:hAnsi="Times New Roman" w:cs="Times New Roman"/>
          <w:sz w:val="30"/>
          <w:szCs w:val="30"/>
        </w:rPr>
        <w:t>决定是否予以受理；</w:t>
      </w:r>
    </w:p>
    <w:p w:rsidR="00AD57D5" w:rsidRDefault="004B5CA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不予受理的，出具不予受理通知书；受理的，出具受理通知书，进行审查报批；</w:t>
      </w:r>
    </w:p>
    <w:p w:rsidR="00AD57D5" w:rsidRDefault="004B5CA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不予许可的，出具不予许可通知书。许可的，向申请人出具正式公文或备案通知书。</w:t>
      </w:r>
    </w:p>
    <w:p w:rsidR="00AD57D5" w:rsidRDefault="004B5CA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材料不全或不符合法定形式的，一次性告知补正材料，并出具《行政许可补正通知书》。</w:t>
      </w:r>
    </w:p>
    <w:p w:rsidR="00AD57D5" w:rsidRDefault="004B5CA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AD57D5" w:rsidRDefault="004B5CA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一般程序：申请、受理、审查、出具正式公文或备案通知书。</w:t>
      </w:r>
    </w:p>
    <w:p w:rsidR="00AD57D5" w:rsidRDefault="004B5CA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AD57D5" w:rsidRDefault="004B5CA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w:t>
      </w:r>
    </w:p>
    <w:p w:rsidR="00AD57D5" w:rsidRDefault="004B5CA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AD57D5" w:rsidRDefault="004B5CA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AD57D5" w:rsidRDefault="004B5CA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AD57D5" w:rsidRDefault="004B5CA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正式公文或备案通知书。</w:t>
      </w:r>
    </w:p>
    <w:p w:rsidR="00AD57D5" w:rsidRDefault="004B5CA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AD57D5" w:rsidRDefault="004B5CA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AD57D5" w:rsidRDefault="004B5CA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AD57D5" w:rsidRDefault="004B5CA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AD57D5" w:rsidRDefault="004B5CA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（十五）事项审查类型</w:t>
      </w:r>
    </w:p>
    <w:p w:rsidR="00AD57D5" w:rsidRDefault="004B5CA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前审后批</w:t>
      </w:r>
    </w:p>
    <w:p w:rsidR="00AD57D5" w:rsidRDefault="004B5CA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（十六）办公地址和时间</w:t>
      </w:r>
    </w:p>
    <w:p w:rsidR="003E2E47" w:rsidRDefault="003E2E47" w:rsidP="003E2E4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办公地址：</w:t>
      </w:r>
      <w:r w:rsidRPr="00826641">
        <w:rPr>
          <w:rFonts w:ascii="Times New Roman" w:eastAsia="仿宋_GB2312" w:hAnsi="Times New Roman" w:cs="Times New Roman" w:hint="eastAsia"/>
          <w:sz w:val="30"/>
          <w:szCs w:val="30"/>
        </w:rPr>
        <w:t>江苏省南京市秦淮区朝天宫街道建邺路</w:t>
      </w:r>
      <w:r w:rsidRPr="00826641">
        <w:rPr>
          <w:rFonts w:ascii="Times New Roman" w:eastAsia="仿宋_GB2312" w:hAnsi="Times New Roman" w:cs="Times New Roman" w:hint="eastAsia"/>
          <w:sz w:val="30"/>
          <w:szCs w:val="30"/>
        </w:rPr>
        <w:t>88</w:t>
      </w:r>
      <w:r w:rsidRPr="00826641">
        <w:rPr>
          <w:rFonts w:ascii="Times New Roman" w:eastAsia="仿宋_GB2312" w:hAnsi="Times New Roman" w:cs="Times New Roman" w:hint="eastAsia"/>
          <w:sz w:val="30"/>
          <w:szCs w:val="30"/>
        </w:rPr>
        <w:t>号</w:t>
      </w:r>
      <w:bookmarkStart w:id="0" w:name="_GoBack"/>
      <w:bookmarkEnd w:id="0"/>
    </w:p>
    <w:p w:rsidR="00AD57D5" w:rsidRDefault="003E2E47" w:rsidP="003E2E4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办公时间：工作日</w:t>
      </w:r>
      <w:r>
        <w:rPr>
          <w:rFonts w:ascii="Times New Roman" w:eastAsia="仿宋_GB2312" w:hAnsi="Times New Roman" w:cs="Times New Roman"/>
          <w:sz w:val="30"/>
          <w:szCs w:val="30"/>
        </w:rPr>
        <w:t>8:</w:t>
      </w: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0-17:00</w:t>
      </w:r>
    </w:p>
    <w:p w:rsidR="00AD57D5" w:rsidRDefault="004B5CA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（十七）禁止性要求</w:t>
      </w:r>
    </w:p>
    <w:p w:rsidR="00AD57D5" w:rsidRDefault="004B5CA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如符合上述条件，不存在不予许可的情况。</w:t>
      </w:r>
    </w:p>
    <w:p w:rsidR="00AD57D5" w:rsidRDefault="004B5CA9">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（十八）咨询途径</w:t>
      </w:r>
    </w:p>
    <w:p w:rsidR="00AD57D5" w:rsidRDefault="004B5CA9">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电话、网址</w:t>
      </w:r>
      <w:r>
        <w:rPr>
          <w:rFonts w:ascii="Times New Roman" w:eastAsia="仿宋_GB2312" w:hAnsi="Times New Roman" w:cs="Times New Roman" w:hint="eastAsia"/>
          <w:sz w:val="30"/>
          <w:szCs w:val="30"/>
        </w:rPr>
        <w:t>。</w:t>
      </w:r>
    </w:p>
    <w:p w:rsidR="00AD57D5" w:rsidRDefault="004B5CA9">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（十九）办理进程和结果公开查询</w:t>
      </w:r>
    </w:p>
    <w:p w:rsidR="00AD57D5" w:rsidRDefault="004B5CA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咨询、</w:t>
      </w:r>
      <w:r>
        <w:rPr>
          <w:rFonts w:ascii="Times New Roman" w:eastAsia="仿宋_GB2312" w:hAnsi="Times New Roman" w:cs="Times New Roman" w:hint="eastAsia"/>
          <w:sz w:val="30"/>
          <w:szCs w:val="30"/>
        </w:rPr>
        <w:t>进度查询</w:t>
      </w:r>
      <w:r>
        <w:rPr>
          <w:rFonts w:ascii="Times New Roman" w:eastAsia="仿宋_GB2312" w:hAnsi="Times New Roman" w:cs="Times New Roman"/>
          <w:sz w:val="30"/>
          <w:szCs w:val="30"/>
        </w:rPr>
        <w:t>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官方互联网站的相应栏目进行。</w:t>
      </w:r>
    </w:p>
    <w:p w:rsidR="00AD57D5" w:rsidRDefault="004B5CA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025-84790218</w:t>
      </w:r>
    </w:p>
    <w:p w:rsidR="00AD57D5" w:rsidRDefault="004B5CA9">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9" w:history="1">
        <w:r w:rsidRPr="003407D1">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链接至江苏省分局</w:t>
      </w:r>
    </w:p>
    <w:p w:rsidR="00AD57D5" w:rsidRDefault="004B5CA9">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通过国家外汇管理局政务服务网上办理系统提交申请的，可在该系统内进行查询。</w:t>
      </w:r>
    </w:p>
    <w:p w:rsidR="00AD57D5" w:rsidRDefault="004B5CA9">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（二十）监督投诉渠道</w:t>
      </w:r>
    </w:p>
    <w:p w:rsidR="00AD57D5" w:rsidRDefault="004B5CA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官方互联网站的相应栏目进行。</w:t>
      </w:r>
    </w:p>
    <w:p w:rsidR="00AD57D5" w:rsidRDefault="004B5CA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025-84790472</w:t>
      </w:r>
    </w:p>
    <w:p w:rsidR="00AD57D5" w:rsidRDefault="004B5CA9">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10" w:history="1">
        <w:r w:rsidRPr="003407D1">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链接至江苏省分局</w:t>
      </w:r>
    </w:p>
    <w:p w:rsidR="00AD57D5" w:rsidRDefault="004B5CA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（二十一）申请材料示范文本</w:t>
      </w:r>
    </w:p>
    <w:p w:rsidR="00AD57D5" w:rsidRDefault="004B5CA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无固定格式。有关内容要求详见（六）申请材料。</w:t>
      </w:r>
    </w:p>
    <w:p w:rsidR="00AD57D5" w:rsidRDefault="004B5CA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（二十二）常见问题解答</w:t>
      </w:r>
    </w:p>
    <w:p w:rsidR="00AD57D5" w:rsidRDefault="004B5CA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审批时限在</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个工作日以内。但办理过程中所需的现场验收等，不计入时限。</w:t>
      </w:r>
    </w:p>
    <w:p w:rsidR="00AD57D5" w:rsidRDefault="004B5CA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（二十三）常见错误示例</w:t>
      </w:r>
    </w:p>
    <w:p w:rsidR="00AD57D5" w:rsidRDefault="004B5CA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申请材料不完全符合规定，例如符合银行业监督管理部门有关金融衍生产品交易业务资格规定的证明文件未加盖</w:t>
      </w:r>
      <w:r>
        <w:rPr>
          <w:rFonts w:ascii="Times New Roman" w:eastAsia="仿宋_GB2312" w:hAnsi="Times New Roman" w:cs="Times New Roman" w:hint="eastAsia"/>
          <w:sz w:val="30"/>
          <w:szCs w:val="30"/>
        </w:rPr>
        <w:t>银行</w:t>
      </w:r>
      <w:r>
        <w:rPr>
          <w:rFonts w:ascii="Times New Roman" w:eastAsia="仿宋_GB2312" w:hAnsi="Times New Roman" w:cs="Times New Roman"/>
          <w:sz w:val="30"/>
          <w:szCs w:val="30"/>
        </w:rPr>
        <w:t>公章等。</w:t>
      </w:r>
    </w:p>
    <w:p w:rsidR="00AD57D5" w:rsidRDefault="00AD57D5">
      <w:pPr>
        <w:ind w:right="300" w:firstLine="600"/>
        <w:rPr>
          <w:rFonts w:ascii="Times New Roman" w:eastAsia="黑体" w:hAnsi="Times New Roman" w:cs="Times New Roman"/>
          <w:sz w:val="30"/>
          <w:szCs w:val="30"/>
        </w:rPr>
      </w:pPr>
    </w:p>
    <w:p w:rsidR="00AD57D5" w:rsidRDefault="00AD57D5">
      <w:pPr>
        <w:ind w:right="300" w:firstLine="600"/>
        <w:rPr>
          <w:rFonts w:ascii="Times New Roman" w:eastAsia="仿宋_GB2312" w:hAnsi="Times New Roman" w:cs="Times New Roman"/>
          <w:sz w:val="30"/>
          <w:szCs w:val="30"/>
        </w:rPr>
        <w:sectPr w:rsidR="00AD57D5">
          <w:footerReference w:type="default" r:id="rId11"/>
          <w:pgSz w:w="11906" w:h="16838"/>
          <w:pgMar w:top="1440" w:right="1800" w:bottom="1440" w:left="1800" w:header="851" w:footer="992" w:gutter="0"/>
          <w:cols w:space="720"/>
          <w:docGrid w:type="lines" w:linePitch="312"/>
        </w:sectPr>
      </w:pPr>
    </w:p>
    <w:p w:rsidR="00AD57D5" w:rsidRDefault="004B5CA9">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w:t>
      </w:r>
    </w:p>
    <w:p w:rsidR="00AD57D5" w:rsidRDefault="004B5CA9">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AD57D5" w:rsidRDefault="004B5CA9">
      <w:pPr>
        <w:ind w:right="300"/>
        <w:jc w:val="center"/>
        <w:rPr>
          <w:rFonts w:ascii="Times New Roman" w:hAnsi="Times New Roman" w:cs="Times New Roman"/>
        </w:rPr>
      </w:pPr>
      <w:r>
        <w:rPr>
          <w:rFonts w:ascii="Times New Roman" w:hAnsi="Times New Roman" w:cs="Times New Roman"/>
        </w:rPr>
        <w:pict>
          <v:group id="Group 423" o:spid="_x0000_s1027" style="position:absolute;left:0;text-align:left;margin-left:-39.65pt;margin-top:29.1pt;width:459.7pt;height:421.5pt;z-index:251658240" coordorigin="1007,3270" coordsize="9194,8430">
            <v:shapetype id="_x0000_t32" coordsize="21600,21600" o:spt="32" o:oned="t" path="m,l21600,21600e" filled="f">
              <v:path arrowok="t" fillok="f" o:connecttype="none"/>
              <o:lock v:ext="edit" shapetype="t"/>
            </v:shapetype>
            <v:shape id="Straight Connector 424" o:spid="_x0000_s1028" type="#_x0000_t32" style="position:absolute;left:2612;top:4693;width:17;height:1468" o:connectortype="straight" o:preferrelative="t">
              <v:stroke endarrow="block" miterlimit="2"/>
            </v:shape>
            <v:shape id="Straight Connector 425" o:spid="_x0000_s1029" type="#_x0000_t32" style="position:absolute;left:3667;top:5789;width:1172;height:0" o:connectortype="straight" o:preferrelative="t">
              <v:stroke endarrow="block" miterlimit="2"/>
            </v:shape>
            <v:shape id="Straight Connector 426" o:spid="_x0000_s1030" type="#_x0000_t32" style="position:absolute;left:3667;top:6593;width:1172;height:0" o:connectortype="straight" o:preferrelative="t">
              <v:stroke endarrow="block" miterlimit="2"/>
            </v:shape>
            <v:shape id="Straight Connector 427" o:spid="_x0000_s1031" type="#_x0000_t32" style="position:absolute;left:8191;top:4642;width:1;height:895;flip:y" o:connectortype="straight" o:preferrelative="t">
              <v:stroke endarrow="block" miterlimit="2"/>
            </v:shape>
            <v:shape id="Straight Connector 428" o:spid="_x0000_s1032" type="#_x0000_t32" style="position:absolute;left:2629;top:4981;width:4643;height:1;flip:x" o:connectortype="straight" o:preferrelative="t">
              <v:stroke endarrow="block" miterlimit="2"/>
            </v:shape>
            <v:shape id="Straight Connector 429" o:spid="_x0000_s1033" type="#_x0000_t32" style="position:absolute;left:5392;top:8652;width:0;height:437" o:connectortype="straight" o:preferrelative="t">
              <v:stroke endarrow="block" miterlimit="2"/>
            </v:shape>
            <v:shape id="Straight Connector 430" o:spid="_x0000_s1034" type="#_x0000_t32" style="position:absolute;left:6547;top:9623;width:17;height:905" o:connectortype="straight" o:preferrelative="t">
              <v:stroke endarrow="block" miterlimit="2"/>
            </v:shape>
            <v:shape id="Straight Connector 431" o:spid="_x0000_s1035" type="#_x0000_t32" style="position:absolute;left:4432;top:9623;width:1;height:905" o:connectortype="straight" o:preferrelative="t">
              <v:stroke endarrow="block" miterlimit="2"/>
            </v:shape>
            <v:shape id="Straight Connector 432" o:spid="_x0000_s1036" type="#_x0000_t32" style="position:absolute;left:2612;top:6826;width:0;height:1391" o:connectortype="straight" o:preferrelative="t">
              <v:stroke miterlimit="2"/>
            </v:shape>
            <v:shape id="Straight Connector 433" o:spid="_x0000_s1037" type="#_x0000_t32" style="position:absolute;left:2612;top:8217;width:822;height:0" o:connectortype="straight" o:preferrelative="t">
              <v:stroke endarrow="block" miterlimit="2"/>
            </v:shape>
            <v:shapetype id="_x0000_t110" coordsize="21600,21600" o:spt="110" path="m10800,l,10800,10800,21600,21600,10800xe">
              <v:stroke joinstyle="miter"/>
              <v:path gradientshapeok="t" o:connecttype="rect" textboxrect="5400,5400,16200,16200"/>
            </v:shapetype>
            <v:shape id="Flowchart: Decision 434" o:spid="_x0000_s1038" type="#_x0000_t110" style="position:absolute;left:1007;top:5267;width:3274;height:1889" o:preferrelative="t">
              <v:stroke miterlimit="2"/>
              <v:textbox>
                <w:txbxContent>
                  <w:p w:rsidR="00AD57D5" w:rsidRDefault="004B5CA9">
                    <w:r>
                      <w:rPr>
                        <w:rFonts w:hint="eastAsia"/>
                      </w:rPr>
                      <w:t>接件并当场（或</w:t>
                    </w:r>
                    <w:r>
                      <w:rPr>
                        <w:rFonts w:hint="eastAsia"/>
                      </w:rPr>
                      <w:t>5</w:t>
                    </w:r>
                    <w:r>
                      <w:rPr>
                        <w:rFonts w:hint="eastAsia"/>
                      </w:rPr>
                      <w:t>个工作日）作出是否受理决定</w:t>
                    </w:r>
                  </w:p>
                  <w:p w:rsidR="00AD57D5" w:rsidRDefault="00AD57D5"/>
                </w:txbxContent>
              </v:textbox>
            </v:shape>
            <v:rect id="Rectangle 435" o:spid="_x0000_s1039" style="position:absolute;left:7272;top:4470;width:2094;height:796" o:preferrelative="t">
              <v:stroke miterlimit="2"/>
              <v:textbox>
                <w:txbxContent>
                  <w:p w:rsidR="00AD57D5" w:rsidRDefault="004B5CA9">
                    <w:pPr>
                      <w:jc w:val="center"/>
                    </w:pPr>
                    <w:r>
                      <w:rPr>
                        <w:rFonts w:hint="eastAsia"/>
                      </w:rPr>
                      <w:t>申请人补全材料</w:t>
                    </w:r>
                  </w:p>
                  <w:p w:rsidR="00AD57D5" w:rsidRDefault="00AD57D5"/>
                </w:txbxContent>
              </v:textbox>
            </v:rect>
            <v:rect id="Rectangle 436" o:spid="_x0000_s1040" style="position:absolute;left:4839;top:5537;width:5362;height:500" o:preferrelative="t">
              <v:stroke miterlimit="2"/>
              <v:textbox>
                <w:txbxContent>
                  <w:p w:rsidR="00AD57D5" w:rsidRDefault="004B5CA9">
                    <w:r>
                      <w:rPr>
                        <w:rFonts w:hint="eastAsia"/>
                      </w:rPr>
                      <w:t>材料不全或不符合法定形式的，一次性告知补正材料</w:t>
                    </w:r>
                  </w:p>
                  <w:p w:rsidR="00AD57D5" w:rsidRDefault="00AD57D5"/>
                </w:txbxContent>
              </v:textbox>
            </v:rect>
            <v:rect id="Rectangle 437" o:spid="_x0000_s1041" style="position:absolute;left:4839;top:6389;width:5362;height:906" o:preferrelative="t">
              <v:stroke miterlimit="2"/>
              <v:textbox>
                <w:txbxContent>
                  <w:p w:rsidR="00AD57D5" w:rsidRDefault="004B5CA9">
                    <w:r>
                      <w:rPr>
                        <w:rFonts w:hint="eastAsia"/>
                      </w:rPr>
                      <w:t>依法不予受理的，作出不予受理决定，出具不予受理通知书</w:t>
                    </w:r>
                  </w:p>
                  <w:p w:rsidR="00AD57D5" w:rsidRDefault="00AD57D5"/>
                </w:txbxContent>
              </v:textbox>
            </v:rect>
            <v:rect id="Rectangle 438" o:spid="_x0000_s1042" style="position:absolute;left:3433;top:8049;width:4104;height:603" o:preferrelative="t">
              <v:stroke miterlimit="2"/>
              <v:textbox>
                <w:txbxContent>
                  <w:p w:rsidR="00AD57D5" w:rsidRDefault="004B5CA9">
                    <w:pPr>
                      <w:jc w:val="center"/>
                    </w:pPr>
                    <w:r>
                      <w:rPr>
                        <w:rFonts w:hint="eastAsia"/>
                      </w:rPr>
                      <w:t>依法应予受理，出具受理单</w:t>
                    </w:r>
                  </w:p>
                  <w:p w:rsidR="00AD57D5" w:rsidRDefault="00AD57D5"/>
                </w:txbxContent>
              </v:textbox>
            </v:rect>
            <v:rect id="Rectangle 439" o:spid="_x0000_s1043" style="position:absolute;left:3434;top:9089;width:4252;height:534" o:preferrelative="t">
              <v:stroke miterlimit="2"/>
              <v:textbox>
                <w:txbxContent>
                  <w:p w:rsidR="00AD57D5" w:rsidRDefault="004B5CA9">
                    <w:pPr>
                      <w:jc w:val="center"/>
                    </w:pPr>
                    <w:r>
                      <w:rPr>
                        <w:rFonts w:hint="eastAsia"/>
                      </w:rPr>
                      <w:t>审查报批</w:t>
                    </w:r>
                  </w:p>
                  <w:p w:rsidR="00AD57D5" w:rsidRDefault="00AD57D5"/>
                </w:txbxContent>
              </v:textbox>
            </v:rect>
            <v:rect id="Rectangle 440" o:spid="_x0000_s1044" style="position:absolute;left:1771;top:3270;width:2894;height:1423" o:preferrelative="t">
              <v:stroke miterlimit="2"/>
              <v:textbox>
                <w:txbxContent>
                  <w:p w:rsidR="00AD57D5" w:rsidRDefault="004B5CA9">
                    <w:pPr>
                      <w:spacing w:before="34"/>
                      <w:rPr>
                        <w:rFonts w:ascii="宋体" w:hAnsi="宋体" w:cs="宋体"/>
                        <w:szCs w:val="21"/>
                      </w:rPr>
                    </w:pPr>
                    <w:r>
                      <w:rPr>
                        <w:rFonts w:ascii="宋体" w:hAnsi="宋体" w:cs="宋体" w:hint="eastAsia"/>
                        <w:szCs w:val="21"/>
                      </w:rPr>
                      <w:t>申请人以现场、邮寄、国家外汇管理局政务服务网上办理系统等提交材料提出书面申请，并提交材料</w:t>
                    </w:r>
                  </w:p>
                  <w:p w:rsidR="00AD57D5" w:rsidRDefault="00AD57D5"/>
                </w:txbxContent>
              </v:textbox>
            </v:rect>
            <v:rect id="Rectangle 441" o:spid="_x0000_s1045" style="position:absolute;left:3433;top:10528;width:1747;height:1172" o:preferrelative="t">
              <v:stroke miterlimit="2"/>
              <v:textbox>
                <w:txbxContent>
                  <w:p w:rsidR="00AD57D5" w:rsidRDefault="004B5CA9">
                    <w:r>
                      <w:rPr>
                        <w:rFonts w:hint="eastAsia"/>
                      </w:rPr>
                      <w:t>予以许可，向申请人出具正式公文或备案表</w:t>
                    </w:r>
                  </w:p>
                  <w:p w:rsidR="00AD57D5" w:rsidRDefault="00AD57D5"/>
                </w:txbxContent>
              </v:textbox>
            </v:rect>
            <v:rect id="Rectangle 442" o:spid="_x0000_s1046" style="position:absolute;left:5790;top:10528;width:1747;height:1172" o:preferrelative="t">
              <v:stroke miterlimit="2"/>
              <v:textbox>
                <w:txbxContent>
                  <w:p w:rsidR="00AD57D5" w:rsidRDefault="004B5CA9">
                    <w:r>
                      <w:rPr>
                        <w:rFonts w:hint="eastAsia"/>
                      </w:rPr>
                      <w:t>依法作出不予许可决定，并送达</w:t>
                    </w:r>
                  </w:p>
                  <w:p w:rsidR="00AD57D5" w:rsidRDefault="00AD57D5"/>
                </w:txbxContent>
              </v:textbox>
            </v:rect>
          </v:group>
        </w:pict>
      </w:r>
    </w:p>
    <w:sectPr w:rsidR="00AD57D5">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A9" w:rsidRDefault="004B5CA9">
      <w:r>
        <w:separator/>
      </w:r>
    </w:p>
  </w:endnote>
  <w:endnote w:type="continuationSeparator" w:id="0">
    <w:p w:rsidR="004B5CA9" w:rsidRDefault="004B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00" w:usb3="00000000" w:csb0="00040000" w:csb1="00000000"/>
  </w:font>
  <w:font w:name="ˎ̥">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D5" w:rsidRDefault="004B5CA9">
    <w:pPr>
      <w:pStyle w:val="a7"/>
      <w:jc w:val="center"/>
    </w:pPr>
    <w:r>
      <w:fldChar w:fldCharType="begin"/>
    </w:r>
    <w:r>
      <w:instrText xml:space="preserve"> PAGE   \* MERGEFORMAT </w:instrText>
    </w:r>
    <w:r>
      <w:fldChar w:fldCharType="separate"/>
    </w:r>
    <w:r w:rsidR="003407D1" w:rsidRPr="003407D1">
      <w:rPr>
        <w:noProof/>
        <w:lang w:val="zh-CN"/>
      </w:rPr>
      <w:t>1</w:t>
    </w:r>
    <w:r>
      <w:rPr>
        <w:lang w:val="zh-CN"/>
      </w:rPr>
      <w:fldChar w:fldCharType="end"/>
    </w:r>
  </w:p>
  <w:p w:rsidR="00AD57D5" w:rsidRDefault="00AD57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D5" w:rsidRDefault="004B5CA9">
    <w:pPr>
      <w:pStyle w:val="a7"/>
      <w:jc w:val="center"/>
    </w:pPr>
    <w:r>
      <w:fldChar w:fldCharType="begin"/>
    </w:r>
    <w:r>
      <w:instrText xml:space="preserve"> PAGE   \* MERGEFORMAT </w:instrText>
    </w:r>
    <w:r>
      <w:fldChar w:fldCharType="separate"/>
    </w:r>
    <w:r w:rsidR="00441A2C" w:rsidRPr="00441A2C">
      <w:rPr>
        <w:noProof/>
        <w:lang w:val="zh-CN"/>
      </w:rPr>
      <w:t>7</w:t>
    </w:r>
    <w:r>
      <w:rPr>
        <w:lang w:val="zh-CN"/>
      </w:rPr>
      <w:fldChar w:fldCharType="end"/>
    </w:r>
  </w:p>
  <w:p w:rsidR="00AD57D5" w:rsidRDefault="00AD57D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D5" w:rsidRDefault="004B5CA9">
    <w:pPr>
      <w:pStyle w:val="a7"/>
      <w:jc w:val="center"/>
    </w:pPr>
    <w:r>
      <w:fldChar w:fldCharType="begin"/>
    </w:r>
    <w:r>
      <w:instrText>PAGE   \* MERGEFORMAT</w:instrText>
    </w:r>
    <w:r>
      <w:fldChar w:fldCharType="separate"/>
    </w:r>
    <w:r w:rsidR="003407D1" w:rsidRPr="003407D1">
      <w:rPr>
        <w:noProof/>
        <w:lang w:val="zh-CN"/>
      </w:rPr>
      <w:t>8</w:t>
    </w:r>
    <w:r>
      <w:fldChar w:fldCharType="end"/>
    </w:r>
  </w:p>
  <w:p w:rsidR="00AD57D5" w:rsidRDefault="00AD57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A9" w:rsidRDefault="004B5CA9">
      <w:r>
        <w:separator/>
      </w:r>
    </w:p>
  </w:footnote>
  <w:footnote w:type="continuationSeparator" w:id="0">
    <w:p w:rsidR="004B5CA9" w:rsidRDefault="004B5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3372"/>
    <w:rsid w:val="00022191"/>
    <w:rsid w:val="00023783"/>
    <w:rsid w:val="00041960"/>
    <w:rsid w:val="00042B58"/>
    <w:rsid w:val="00053278"/>
    <w:rsid w:val="00054B00"/>
    <w:rsid w:val="00055270"/>
    <w:rsid w:val="00057F76"/>
    <w:rsid w:val="0006560A"/>
    <w:rsid w:val="00072F8A"/>
    <w:rsid w:val="000750C8"/>
    <w:rsid w:val="00080630"/>
    <w:rsid w:val="00084C01"/>
    <w:rsid w:val="00091661"/>
    <w:rsid w:val="00092D53"/>
    <w:rsid w:val="00096CBB"/>
    <w:rsid w:val="00097F7B"/>
    <w:rsid w:val="000A63A6"/>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376C"/>
    <w:rsid w:val="00193175"/>
    <w:rsid w:val="00196FAE"/>
    <w:rsid w:val="001A3E49"/>
    <w:rsid w:val="001A72AA"/>
    <w:rsid w:val="001B1E2C"/>
    <w:rsid w:val="001C44C7"/>
    <w:rsid w:val="001D65A2"/>
    <w:rsid w:val="001E1407"/>
    <w:rsid w:val="001F4BD4"/>
    <w:rsid w:val="001F6AF6"/>
    <w:rsid w:val="001F7297"/>
    <w:rsid w:val="00205D07"/>
    <w:rsid w:val="00212F39"/>
    <w:rsid w:val="00217116"/>
    <w:rsid w:val="00231EED"/>
    <w:rsid w:val="00233841"/>
    <w:rsid w:val="00235F24"/>
    <w:rsid w:val="002417D2"/>
    <w:rsid w:val="00241FE8"/>
    <w:rsid w:val="0024527E"/>
    <w:rsid w:val="00253F7B"/>
    <w:rsid w:val="00263773"/>
    <w:rsid w:val="00263B1F"/>
    <w:rsid w:val="00272DF7"/>
    <w:rsid w:val="00291C17"/>
    <w:rsid w:val="0029313A"/>
    <w:rsid w:val="002B0B1C"/>
    <w:rsid w:val="002B598D"/>
    <w:rsid w:val="002B61C1"/>
    <w:rsid w:val="002C3539"/>
    <w:rsid w:val="002C3A40"/>
    <w:rsid w:val="002D2A8C"/>
    <w:rsid w:val="002D4121"/>
    <w:rsid w:val="002E1323"/>
    <w:rsid w:val="002E6E2B"/>
    <w:rsid w:val="002F3868"/>
    <w:rsid w:val="00302119"/>
    <w:rsid w:val="00302E87"/>
    <w:rsid w:val="00310261"/>
    <w:rsid w:val="00325D3D"/>
    <w:rsid w:val="003407D1"/>
    <w:rsid w:val="00343044"/>
    <w:rsid w:val="00344107"/>
    <w:rsid w:val="00344B01"/>
    <w:rsid w:val="00353AC4"/>
    <w:rsid w:val="00356BC8"/>
    <w:rsid w:val="003616B4"/>
    <w:rsid w:val="003642BD"/>
    <w:rsid w:val="003A57B2"/>
    <w:rsid w:val="003C7132"/>
    <w:rsid w:val="003D77A5"/>
    <w:rsid w:val="003E2E47"/>
    <w:rsid w:val="003E6BF6"/>
    <w:rsid w:val="003F221D"/>
    <w:rsid w:val="003F3097"/>
    <w:rsid w:val="00402AE8"/>
    <w:rsid w:val="00405FE6"/>
    <w:rsid w:val="004105BC"/>
    <w:rsid w:val="00421C27"/>
    <w:rsid w:val="00440A1F"/>
    <w:rsid w:val="00441A2C"/>
    <w:rsid w:val="00443603"/>
    <w:rsid w:val="00443604"/>
    <w:rsid w:val="004501EA"/>
    <w:rsid w:val="00450FD3"/>
    <w:rsid w:val="00460458"/>
    <w:rsid w:val="0046792D"/>
    <w:rsid w:val="004767DF"/>
    <w:rsid w:val="00493CCC"/>
    <w:rsid w:val="004967FB"/>
    <w:rsid w:val="004A0218"/>
    <w:rsid w:val="004A2436"/>
    <w:rsid w:val="004A2BF8"/>
    <w:rsid w:val="004A7840"/>
    <w:rsid w:val="004B15B6"/>
    <w:rsid w:val="004B545A"/>
    <w:rsid w:val="004B5CA9"/>
    <w:rsid w:val="004B7E80"/>
    <w:rsid w:val="004C42A8"/>
    <w:rsid w:val="004C457E"/>
    <w:rsid w:val="004C48D5"/>
    <w:rsid w:val="004D03B7"/>
    <w:rsid w:val="004D1436"/>
    <w:rsid w:val="004D57AE"/>
    <w:rsid w:val="005056D4"/>
    <w:rsid w:val="00526B2B"/>
    <w:rsid w:val="0053236D"/>
    <w:rsid w:val="005362B0"/>
    <w:rsid w:val="00540FD8"/>
    <w:rsid w:val="00542447"/>
    <w:rsid w:val="00557EB9"/>
    <w:rsid w:val="00564312"/>
    <w:rsid w:val="005A2981"/>
    <w:rsid w:val="005B392B"/>
    <w:rsid w:val="005C6937"/>
    <w:rsid w:val="005C7F02"/>
    <w:rsid w:val="005F0A86"/>
    <w:rsid w:val="005F144A"/>
    <w:rsid w:val="005F1C00"/>
    <w:rsid w:val="0061621E"/>
    <w:rsid w:val="00617A05"/>
    <w:rsid w:val="00630AA8"/>
    <w:rsid w:val="00630B2E"/>
    <w:rsid w:val="00632EDB"/>
    <w:rsid w:val="00643D2A"/>
    <w:rsid w:val="00645E08"/>
    <w:rsid w:val="006476F4"/>
    <w:rsid w:val="00664E11"/>
    <w:rsid w:val="00673B30"/>
    <w:rsid w:val="00696659"/>
    <w:rsid w:val="00696E5D"/>
    <w:rsid w:val="006A22A9"/>
    <w:rsid w:val="006B5B86"/>
    <w:rsid w:val="006C5908"/>
    <w:rsid w:val="006C633E"/>
    <w:rsid w:val="006D56AB"/>
    <w:rsid w:val="006D734F"/>
    <w:rsid w:val="006E043F"/>
    <w:rsid w:val="006E4695"/>
    <w:rsid w:val="006E4B8B"/>
    <w:rsid w:val="006E5901"/>
    <w:rsid w:val="0071091C"/>
    <w:rsid w:val="00714961"/>
    <w:rsid w:val="007166B6"/>
    <w:rsid w:val="00734297"/>
    <w:rsid w:val="00744BD5"/>
    <w:rsid w:val="00745748"/>
    <w:rsid w:val="00750E36"/>
    <w:rsid w:val="00753CB0"/>
    <w:rsid w:val="00755460"/>
    <w:rsid w:val="00761FB7"/>
    <w:rsid w:val="00762107"/>
    <w:rsid w:val="00764CB9"/>
    <w:rsid w:val="00765B05"/>
    <w:rsid w:val="00767972"/>
    <w:rsid w:val="007724B0"/>
    <w:rsid w:val="0077269F"/>
    <w:rsid w:val="00785F45"/>
    <w:rsid w:val="00791CDD"/>
    <w:rsid w:val="0079240F"/>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03B"/>
    <w:rsid w:val="008731FF"/>
    <w:rsid w:val="0088294A"/>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D57D5"/>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F29"/>
    <w:rsid w:val="00BF4EF0"/>
    <w:rsid w:val="00C02E44"/>
    <w:rsid w:val="00C0337D"/>
    <w:rsid w:val="00C147D2"/>
    <w:rsid w:val="00C2075F"/>
    <w:rsid w:val="00C23799"/>
    <w:rsid w:val="00C274C9"/>
    <w:rsid w:val="00C31E02"/>
    <w:rsid w:val="00C54291"/>
    <w:rsid w:val="00C672C3"/>
    <w:rsid w:val="00C712B2"/>
    <w:rsid w:val="00C94325"/>
    <w:rsid w:val="00C97FED"/>
    <w:rsid w:val="00CA1DBB"/>
    <w:rsid w:val="00CA2622"/>
    <w:rsid w:val="00CA7F2C"/>
    <w:rsid w:val="00CA7FF8"/>
    <w:rsid w:val="00CB1ABB"/>
    <w:rsid w:val="00CB5DE7"/>
    <w:rsid w:val="00CC068D"/>
    <w:rsid w:val="00CC4922"/>
    <w:rsid w:val="00CC68CC"/>
    <w:rsid w:val="00CD1FF6"/>
    <w:rsid w:val="00CE25C7"/>
    <w:rsid w:val="00CE3335"/>
    <w:rsid w:val="00CE4849"/>
    <w:rsid w:val="00CE5C8E"/>
    <w:rsid w:val="00CE5F49"/>
    <w:rsid w:val="00D003EC"/>
    <w:rsid w:val="00D01626"/>
    <w:rsid w:val="00D02F0F"/>
    <w:rsid w:val="00D12296"/>
    <w:rsid w:val="00D33A4D"/>
    <w:rsid w:val="00D33F76"/>
    <w:rsid w:val="00D41F5E"/>
    <w:rsid w:val="00D43DC0"/>
    <w:rsid w:val="00D54E56"/>
    <w:rsid w:val="00D6407D"/>
    <w:rsid w:val="00D93E78"/>
    <w:rsid w:val="00DC6E91"/>
    <w:rsid w:val="00DC7514"/>
    <w:rsid w:val="00DD0902"/>
    <w:rsid w:val="00DD3845"/>
    <w:rsid w:val="00E1687A"/>
    <w:rsid w:val="00E20A2E"/>
    <w:rsid w:val="00E277DE"/>
    <w:rsid w:val="00E27EE9"/>
    <w:rsid w:val="00E3239D"/>
    <w:rsid w:val="00E3254B"/>
    <w:rsid w:val="00E3439B"/>
    <w:rsid w:val="00E42C5F"/>
    <w:rsid w:val="00E65A1B"/>
    <w:rsid w:val="00E72F1F"/>
    <w:rsid w:val="00E841A2"/>
    <w:rsid w:val="00E84B03"/>
    <w:rsid w:val="00E934AB"/>
    <w:rsid w:val="00EA06AC"/>
    <w:rsid w:val="00EA08BF"/>
    <w:rsid w:val="00EA24FB"/>
    <w:rsid w:val="00EB3204"/>
    <w:rsid w:val="00EB50BA"/>
    <w:rsid w:val="00EC3D33"/>
    <w:rsid w:val="00ED302A"/>
    <w:rsid w:val="00ED3A42"/>
    <w:rsid w:val="00ED79A0"/>
    <w:rsid w:val="00EE02BC"/>
    <w:rsid w:val="00EE6970"/>
    <w:rsid w:val="00EF03A9"/>
    <w:rsid w:val="00EF38D0"/>
    <w:rsid w:val="00EF3DDF"/>
    <w:rsid w:val="00EF4A8C"/>
    <w:rsid w:val="00F11106"/>
    <w:rsid w:val="00F2678C"/>
    <w:rsid w:val="00F27B38"/>
    <w:rsid w:val="00F40278"/>
    <w:rsid w:val="00F41832"/>
    <w:rsid w:val="00F56988"/>
    <w:rsid w:val="00F620FB"/>
    <w:rsid w:val="00F6571F"/>
    <w:rsid w:val="00F72E5A"/>
    <w:rsid w:val="00F815BC"/>
    <w:rsid w:val="00F8687E"/>
    <w:rsid w:val="00F918EC"/>
    <w:rsid w:val="00F93331"/>
    <w:rsid w:val="00F95549"/>
    <w:rsid w:val="00FA1E24"/>
    <w:rsid w:val="00FA24FB"/>
    <w:rsid w:val="00FA632B"/>
    <w:rsid w:val="00FB38EA"/>
    <w:rsid w:val="00FB5E0F"/>
    <w:rsid w:val="00FB6AFF"/>
    <w:rsid w:val="00FC4D8F"/>
    <w:rsid w:val="00FD06D3"/>
    <w:rsid w:val="00FE3157"/>
    <w:rsid w:val="00FE6865"/>
    <w:rsid w:val="00FE6993"/>
    <w:rsid w:val="2B853B65"/>
    <w:rsid w:val="45AB301D"/>
    <w:rsid w:val="66325289"/>
    <w:rsid w:val="66D40C15"/>
    <w:rsid w:val="68BE6441"/>
    <w:rsid w:val="756E4295"/>
    <w:rsid w:val="7A3F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Straight Connector 424"/>
        <o:r id="V:Rule2" type="connector" idref="#Straight Connector 426"/>
        <o:r id="V:Rule3" type="connector" idref="#Straight Connector 425"/>
        <o:r id="V:Rule4" type="connector" idref="#Straight Connector 430"/>
        <o:r id="V:Rule5" type="connector" idref="#Straight Connector 429"/>
        <o:r id="V:Rule6" type="connector" idref="#Straight Connector 427"/>
        <o:r id="V:Rule7" type="connector" idref="#Straight Connector 428"/>
        <o:r id="V:Rule8" type="connector" idref="#Straight Connector 433"/>
        <o:r id="V:Rule9" type="connector" idref="#Straight Connector 431"/>
        <o:r id="V:Rule10" type="connector" idref="#Straight Connector 432"/>
      </o:rules>
    </o:shapelayout>
  </w:shapeDefaults>
  <w:decimalSymbol w:val="."/>
  <w:listSeparator w:val=","/>
  <w15:docId w15:val="{6BFD8193-8110-46CD-A98E-2C43C77C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Body Text"/>
    <w:basedOn w:val="a"/>
    <w:link w:val="Char1"/>
    <w:uiPriority w:val="1"/>
    <w:qFormat/>
    <w:pPr>
      <w:spacing w:before="190"/>
      <w:ind w:left="720"/>
      <w:jc w:val="left"/>
    </w:pPr>
    <w:rPr>
      <w:rFonts w:ascii="仿宋_GB2312" w:eastAsia="仿宋_GB2312" w:hAnsi="仿宋_GB2312" w:cs="Times New Roman"/>
      <w:kern w:val="0"/>
      <w:sz w:val="30"/>
      <w:szCs w:val="30"/>
      <w:lang w:eastAsia="en-US"/>
    </w:rPr>
  </w:style>
  <w:style w:type="paragraph" w:styleId="a6">
    <w:name w:val="Balloon Text"/>
    <w:basedOn w:val="a"/>
    <w:link w:val="Char2"/>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b">
    <w:name w:val="Hyperlink"/>
    <w:basedOn w:val="a0"/>
    <w:uiPriority w:val="99"/>
    <w:unhideWhenUsed/>
    <w:rPr>
      <w:rFonts w:ascii="ˎ̥" w:hAnsi="ˎ̥" w:hint="default"/>
      <w:color w:val="0453CC"/>
      <w:sz w:val="20"/>
      <w:szCs w:val="20"/>
      <w:u w:val="none"/>
    </w:rPr>
  </w:style>
  <w:style w:type="character" w:styleId="ac">
    <w:name w:val="annotation reference"/>
    <w:basedOn w:val="a0"/>
    <w:unhideWhenUsed/>
    <w:qFormat/>
    <w:rPr>
      <w:sz w:val="21"/>
      <w:szCs w:val="21"/>
    </w:rPr>
  </w:style>
  <w:style w:type="character" w:styleId="ad">
    <w:name w:val="footnote reference"/>
    <w:unhideWhenUsed/>
    <w:qFormat/>
    <w:rPr>
      <w:rFonts w:ascii="Times New Roman" w:hAnsi="Times New Roman" w:cs="Times New Roman"/>
      <w:vertAlign w:val="superscript"/>
    </w:rPr>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character" w:customStyle="1" w:styleId="Char2">
    <w:name w:val="批注框文本 Char"/>
    <w:basedOn w:val="a0"/>
    <w:link w:val="a6"/>
    <w:semiHidden/>
    <w:rPr>
      <w:sz w:val="18"/>
      <w:szCs w:val="18"/>
    </w:rPr>
  </w:style>
  <w:style w:type="character" w:customStyle="1" w:styleId="HTMLChar">
    <w:name w:val="HTML 预设格式 Char"/>
    <w:basedOn w:val="a0"/>
    <w:link w:val="HTML"/>
    <w:uiPriority w:val="99"/>
    <w:rPr>
      <w:rFonts w:ascii="宋体" w:eastAsia="宋体" w:hAnsi="宋体" w:cs="宋体"/>
      <w:kern w:val="0"/>
      <w:sz w:val="24"/>
      <w:szCs w:val="24"/>
    </w:rPr>
  </w:style>
  <w:style w:type="character" w:customStyle="1" w:styleId="Char0">
    <w:name w:val="批注文字 Char"/>
    <w:basedOn w:val="a0"/>
    <w:link w:val="a4"/>
    <w:semiHidden/>
    <w:qFormat/>
    <w:rPr>
      <w:rFonts w:ascii="Calibri" w:eastAsia="宋体" w:hAnsi="Calibri" w:cs="Times New Roman"/>
    </w:rPr>
  </w:style>
  <w:style w:type="character" w:customStyle="1" w:styleId="1Char">
    <w:name w:val="标题 1 Char"/>
    <w:basedOn w:val="a0"/>
    <w:link w:val="1"/>
    <w:uiPriority w:val="9"/>
    <w:qFormat/>
    <w:rPr>
      <w:rFonts w:ascii="黑体" w:eastAsia="黑体" w:hAnsi="黑体" w:cs="宋体"/>
      <w:color w:val="000000"/>
      <w:kern w:val="0"/>
      <w:sz w:val="30"/>
      <w:szCs w:val="30"/>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3Char">
    <w:name w:val="标题 3 Char"/>
    <w:basedOn w:val="a0"/>
    <w:link w:val="3"/>
    <w:uiPriority w:val="9"/>
    <w:qFormat/>
    <w:rPr>
      <w:rFonts w:ascii="仿宋_GB2312" w:eastAsia="仿宋_GB2312" w:hAnsi="Calibri" w:cs="Times New Roman"/>
      <w:sz w:val="30"/>
      <w:szCs w:val="30"/>
    </w:rPr>
  </w:style>
  <w:style w:type="character" w:customStyle="1" w:styleId="Char5">
    <w:name w:val="脚注文本 Char"/>
    <w:basedOn w:val="a0"/>
    <w:uiPriority w:val="99"/>
    <w:semiHidden/>
    <w:qFormat/>
    <w:rPr>
      <w:kern w:val="2"/>
      <w:sz w:val="18"/>
      <w:szCs w:val="18"/>
    </w:rPr>
  </w:style>
  <w:style w:type="character" w:customStyle="1" w:styleId="Char10">
    <w:name w:val="脚注文本 Char1"/>
    <w:basedOn w:val="a0"/>
    <w:link w:val="a9"/>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basedOn w:val="a0"/>
    <w:link w:val="a3"/>
    <w:qFormat/>
    <w:rPr>
      <w:rFonts w:ascii="宋体"/>
      <w:sz w:val="18"/>
      <w:szCs w:val="18"/>
    </w:rPr>
  </w:style>
  <w:style w:type="character" w:customStyle="1" w:styleId="Char11">
    <w:name w:val="批注文字 Char1"/>
    <w:basedOn w:val="a0"/>
    <w:uiPriority w:val="99"/>
    <w:semiHidden/>
    <w:qFormat/>
    <w:rPr>
      <w:kern w:val="2"/>
      <w:sz w:val="21"/>
      <w:szCs w:val="22"/>
    </w:rPr>
  </w:style>
  <w:style w:type="character" w:customStyle="1" w:styleId="13">
    <w:name w:val="明显强调1"/>
    <w:basedOn w:val="a0"/>
    <w:uiPriority w:val="21"/>
    <w:qFormat/>
    <w:rPr>
      <w:b/>
      <w:bCs/>
      <w:i/>
      <w:iCs/>
      <w:color w:val="4F81BD"/>
    </w:rPr>
  </w:style>
  <w:style w:type="character" w:customStyle="1" w:styleId="Char12">
    <w:name w:val="文档结构图 Char1"/>
    <w:basedOn w:val="a0"/>
    <w:uiPriority w:val="99"/>
    <w:semiHidden/>
    <w:qFormat/>
    <w:rPr>
      <w:rFonts w:ascii="宋体" w:eastAsia="宋体"/>
      <w:sz w:val="18"/>
      <w:szCs w:val="18"/>
    </w:rPr>
  </w:style>
  <w:style w:type="character" w:customStyle="1" w:styleId="Char20">
    <w:name w:val="脚注文本 Char2"/>
    <w:basedOn w:val="a0"/>
    <w:uiPriority w:val="99"/>
    <w:semiHidden/>
    <w:qFormat/>
    <w:rPr>
      <w:sz w:val="18"/>
      <w:szCs w:val="18"/>
    </w:rPr>
  </w:style>
  <w:style w:type="character" w:customStyle="1" w:styleId="Char1">
    <w:name w:val="正文文本 Char"/>
    <w:basedOn w:val="a0"/>
    <w:link w:val="a5"/>
    <w:uiPriority w:val="1"/>
    <w:qFormat/>
    <w:rPr>
      <w:rFonts w:ascii="仿宋_GB2312" w:eastAsia="仿宋_GB2312" w:hAnsi="仿宋_GB2312" w:cs="Times New Roman"/>
      <w:kern w:val="0"/>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safe.gov.cn" TargetMode="External"/><Relationship Id="rId4" Type="http://schemas.openxmlformats.org/officeDocument/2006/relationships/webSettings" Target="webSettings.xml"/><Relationship Id="rId9" Type="http://schemas.openxmlformats.org/officeDocument/2006/relationships/hyperlink" Target="http://www.safe.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编号：57013               _x0001_</dc:title>
  <dc:creator>裴建君2</dc:creator>
  <cp:lastModifiedBy>孟田</cp:lastModifiedBy>
  <cp:revision>1</cp:revision>
  <cp:lastPrinted>2017-11-24T00:22:00Z</cp:lastPrinted>
  <dcterms:created xsi:type="dcterms:W3CDTF">2020-02-17T02:50:00Z</dcterms:created>
  <dcterms:modified xsi:type="dcterms:W3CDTF">2021-02-07T03:31:00Z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