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4E" w:rsidRDefault="00493F6B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57013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836F4E" w:rsidRDefault="00493F6B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836F4E" w:rsidRDefault="00493F6B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493F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836F4E" w:rsidRDefault="00493F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836F4E" w:rsidRDefault="00493F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</w:p>
    <w:p w:rsidR="00836F4E" w:rsidRDefault="00836F4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836F4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36F4E" w:rsidRDefault="00493F6B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836F4E" w:rsidRDefault="00493F6B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836F4E" w:rsidRDefault="00493F6B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57013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836F4E" w:rsidRDefault="00493F6B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</w:t>
      </w:r>
      <w:r>
        <w:rPr>
          <w:rFonts w:ascii="Times New Roman" w:eastAsia="仿宋_GB2312" w:hAnsi="Times New Roman" w:cs="Times New Roman"/>
          <w:sz w:val="30"/>
          <w:szCs w:val="30"/>
        </w:rPr>
        <w:t>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四、银行合作办理远期结售汇业务市场准入审批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《国家外汇管理局关于合作办理远期结售汇业务有关问题的通知》（汇发</w:t>
      </w:r>
      <w:r>
        <w:rPr>
          <w:rFonts w:ascii="Times New Roman" w:eastAsia="仿宋_GB2312" w:hAnsi="Times New Roman" w:cs="Times New Roman"/>
          <w:sz w:val="30"/>
          <w:szCs w:val="30"/>
        </w:rPr>
        <w:t>[2010]62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</w:t>
      </w:r>
      <w:r>
        <w:rPr>
          <w:rFonts w:ascii="Times New Roman" w:eastAsia="仿宋_GB2312" w:hAnsi="Times New Roman" w:cs="Times New Roman"/>
          <w:sz w:val="30"/>
          <w:szCs w:val="30"/>
        </w:rPr>
        <w:t>向所在地国家外汇管理局分局（外汇管理部）申请，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如处于市（地、州、区）、县，应向所在地国家外汇管理局中心支局或支局申请，</w:t>
      </w:r>
      <w:r>
        <w:rPr>
          <w:rFonts w:ascii="Times New Roman" w:eastAsia="仿宋_GB2312" w:hAnsi="Times New Roman" w:cs="Times New Roman"/>
          <w:sz w:val="30"/>
          <w:szCs w:val="30"/>
        </w:rPr>
        <w:t>并逐级上报至国家外汇管理局分局（外汇管理部）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申请人可为境内银行总行或其分支机构。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境内银行总行需同时符合以下条件：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）上年度外汇资产季平均余额在等值</w:t>
      </w:r>
      <w:r>
        <w:rPr>
          <w:rFonts w:ascii="Times New Roman" w:eastAsia="仿宋_GB2312" w:hAnsi="Times New Roman" w:cs="Times New Roman"/>
          <w:sz w:val="30"/>
          <w:szCs w:val="30"/>
        </w:rPr>
        <w:t>2000</w:t>
      </w:r>
      <w:r>
        <w:rPr>
          <w:rFonts w:ascii="Times New Roman" w:eastAsia="仿宋_GB2312" w:hAnsi="Times New Roman" w:cs="Times New Roman"/>
          <w:sz w:val="30"/>
          <w:szCs w:val="30"/>
        </w:rPr>
        <w:t>万美元（含）以上；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）具有完善的合作办理远期结售汇业务管理制度；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境内银行分支机构需同时符合以下条件：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）取得其总行（或总社）授权。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836F4E" w:rsidRDefault="00493F6B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836F4E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836F4E" w:rsidRDefault="00493F6B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银行分支机构合作办理远期结售汇业务市场准入审批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836F4E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836F4E">
        <w:tc>
          <w:tcPr>
            <w:tcW w:w="81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36F4E" w:rsidRDefault="00493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836F4E" w:rsidRDefault="00836F4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（七）申请接受</w:t>
      </w:r>
    </w:p>
    <w:p w:rsidR="00836F4E" w:rsidRDefault="007479B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、国家外汇管理局政务服务网上办理系统（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http://zwfw.safe.gov.cn/asone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不予许可的，出具不予许可通知书。许可的，向申请人出具备案通知书。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836F4E" w:rsidRDefault="00493F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一般程序：申请、受理、审查、出具备案通知书。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836F4E" w:rsidRDefault="00493F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备案通知书。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申请人有权依法提出行政审批申请，依法进行投诉、举报、复议、诉讼等。申请人有义务保证申请材料完整、真实、准确，获批后合法合规办理相关业务。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7479B3" w:rsidRDefault="007479B3" w:rsidP="007479B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办公地址：</w:t>
      </w:r>
      <w:r w:rsidRPr="00826641">
        <w:rPr>
          <w:rFonts w:ascii="Times New Roman" w:eastAsia="仿宋_GB2312" w:hAnsi="Times New Roman" w:cs="Times New Roman" w:hint="eastAsia"/>
          <w:sz w:val="30"/>
          <w:szCs w:val="30"/>
        </w:rPr>
        <w:t>江苏省南京市秦淮区朝天宫街道建邺路</w:t>
      </w:r>
      <w:r w:rsidRPr="00826641">
        <w:rPr>
          <w:rFonts w:ascii="Times New Roman" w:eastAsia="仿宋_GB2312" w:hAnsi="Times New Roman" w:cs="Times New Roman" w:hint="eastAsia"/>
          <w:sz w:val="30"/>
          <w:szCs w:val="30"/>
        </w:rPr>
        <w:t>88</w:t>
      </w:r>
      <w:r w:rsidRPr="00826641">
        <w:rPr>
          <w:rFonts w:ascii="Times New Roman" w:eastAsia="仿宋_GB2312" w:hAnsi="Times New Roman" w:cs="Times New Roman" w:hint="eastAsia"/>
          <w:sz w:val="30"/>
          <w:szCs w:val="30"/>
        </w:rPr>
        <w:t>号</w:t>
      </w:r>
    </w:p>
    <w:p w:rsidR="00836F4E" w:rsidRDefault="007479B3" w:rsidP="007479B3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办公时间：工作日</w:t>
      </w:r>
      <w:r>
        <w:rPr>
          <w:rFonts w:ascii="Times New Roman" w:eastAsia="仿宋_GB2312" w:hAnsi="Times New Roman" w:cs="Times New Roman"/>
          <w:sz w:val="30"/>
          <w:szCs w:val="30"/>
        </w:rPr>
        <w:t>8: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0-17:00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（十八）咨询途径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电话、网址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</w:t>
      </w:r>
      <w:r>
        <w:rPr>
          <w:rFonts w:ascii="Times New Roman" w:eastAsia="仿宋_GB2312" w:hAnsi="Times New Roman" w:cs="Times New Roman"/>
          <w:sz w:val="30"/>
          <w:szCs w:val="30"/>
        </w:rPr>
        <w:t>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025-84790218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9" w:history="1">
        <w:r w:rsidRPr="007479B3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链接至江苏省分局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025-84790472</w:t>
      </w:r>
    </w:p>
    <w:p w:rsidR="00836F4E" w:rsidRDefault="00493F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10" w:history="1">
        <w:r w:rsidRPr="007479B3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链接至江苏省分局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（二十一）申请材料示范文本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无固定格式，但需要根据总行、分支机构提供不同的材料，有关内容要求详见（六）申请材料。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836F4E" w:rsidRDefault="00493F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申请材料不完全符合规定，例如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合作办理远期结售汇业务相关管理制度包含内容不全等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36F4E" w:rsidRDefault="00836F4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836F4E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36F4E" w:rsidRDefault="00493F6B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836F4E" w:rsidRDefault="00493F6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493F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group id="Group 492" o:spid="_x0000_s1027" style="position:absolute;left:0;text-align:left;margin-left:-39.65pt;margin-top:.9pt;width:459.7pt;height:418.5pt;z-index:251661312" coordorigin="1007,3330" coordsize="9194,8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493" o:spid="_x0000_s1028" type="#_x0000_t32" style="position:absolute;left:5392;top:8652;width:0;height:437" o:connectortype="straight" o:preferrelative="t">
              <v:stroke endarrow="block" miterlimit="2"/>
            </v:shape>
            <v:shape id="Straight Connector 494" o:spid="_x0000_s1029" type="#_x0000_t32" style="position:absolute;left:6547;top:9623;width:17;height:905" o:connectortype="straight" o:preferrelative="t">
              <v:stroke endarrow="block" miterlimit="2"/>
            </v:shape>
            <v:shape id="Straight Connector 495" o:spid="_x0000_s1030" type="#_x0000_t32" style="position:absolute;left:4432;top:9623;width:1;height:905" o:connectortype="straight" o:preferrelative="t">
              <v:stroke endarrow="block" miterlimit="2"/>
            </v:shape>
            <v:shape id="Straight Connector 496" o:spid="_x0000_s1031" type="#_x0000_t32" style="position:absolute;left:2612;top:6826;width:0;height:1391" o:connectortype="straight" o:preferrelative="t">
              <v:stroke miterlimit="2"/>
            </v:shape>
            <v:shape id="Straight Connector 497" o:spid="_x0000_s1032" type="#_x0000_t32" style="position:absolute;left:2612;top:8217;width:822;height:0" o:connectortype="straight" o:preferrelative="t">
              <v:stroke endarrow="block" miterlimit="2"/>
            </v:shape>
            <v:rect id="Rectangle 498" o:spid="_x0000_s1033" style="position:absolute;left:4839;top:6389;width:5362;height:906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836F4E" w:rsidRDefault="00836F4E"/>
                </w:txbxContent>
              </v:textbox>
            </v:rect>
            <v:rect id="Rectangle 499" o:spid="_x0000_s1034" style="position:absolute;left:3433;top:8049;width:4104;height:603" o:preferrelative="t">
              <v:stroke miterlimit="2"/>
              <v:textbox>
                <w:txbxContent>
                  <w:p w:rsidR="00836F4E" w:rsidRDefault="00493F6B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836F4E" w:rsidRDefault="00836F4E"/>
                </w:txbxContent>
              </v:textbox>
            </v:rect>
            <v:rect id="Rectangle 500" o:spid="_x0000_s1035" style="position:absolute;left:3434;top:9089;width:4252;height:534" o:preferrelative="t">
              <v:stroke miterlimit="2"/>
              <v:textbox>
                <w:txbxContent>
                  <w:p w:rsidR="00836F4E" w:rsidRDefault="00493F6B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836F4E" w:rsidRDefault="00836F4E"/>
                </w:txbxContent>
              </v:textbox>
            </v:rect>
            <v:rect id="Rectangle 501" o:spid="_x0000_s1036" style="position:absolute;left:3433;top:10528;width:1747;height:1172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 w:rsidR="00836F4E" w:rsidRDefault="00836F4E"/>
                </w:txbxContent>
              </v:textbox>
            </v:rect>
            <v:rect id="Rectangle 502" o:spid="_x0000_s1037" style="position:absolute;left:5790;top:10528;width:1747;height:1172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836F4E" w:rsidRDefault="00836F4E"/>
                </w:txbxContent>
              </v:textbox>
            </v:rect>
            <v:shape id="Straight Connector 503" o:spid="_x0000_s1038" type="#_x0000_t32" style="position:absolute;left:2612;top:4693;width:17;height:1468" o:connectortype="straight" o:preferrelative="t">
              <v:stroke endarrow="block" miterlimit="2"/>
            </v:shape>
            <v:shape id="Straight Connector 504" o:spid="_x0000_s1039" type="#_x0000_t32" style="position:absolute;left:3570;top:5789;width:1269;height:1" o:connectortype="straight" o:preferrelative="t">
              <v:stroke endarrow="block" miterlimit="2"/>
            </v:shape>
            <v:shape id="Straight Connector 505" o:spid="_x0000_s1040" type="#_x0000_t32" style="position:absolute;left:3667;top:6593;width:1172;height:0" o:connectortype="straight" o:preferrelative="t">
              <v:stroke endarrow="block" miterlimit="2"/>
            </v:shape>
            <v:shape id="Straight Connector 506" o:spid="_x0000_s1041" type="#_x0000_t32" style="position:absolute;left:8191;top:5266;width:0;height:271;flip:y" o:connectortype="straight" o:preferrelative="t">
              <v:stroke endarrow="block" miterlimit="2"/>
            </v:shape>
            <v:shape id="Straight Connector 507" o:spid="_x0000_s1042" type="#_x0000_t32" style="position:absolute;left:2629;top:4981;width:4643;height:1;flip:x" o:connectortype="straight" o:preferrelative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508" o:spid="_x0000_s1043" type="#_x0000_t110" style="position:absolute;left:1007;top:5267;width:3274;height:1889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836F4E" w:rsidRDefault="00836F4E"/>
                </w:txbxContent>
              </v:textbox>
            </v:shape>
            <v:rect id="Rectangle 509" o:spid="_x0000_s1044" style="position:absolute;left:4839;top:5537;width:5362;height:500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836F4E" w:rsidRDefault="00836F4E"/>
                </w:txbxContent>
              </v:textbox>
            </v:rect>
            <v:rect id="Rectangle 510" o:spid="_x0000_s1045" style="position:absolute;left:1771;top:3330;width:2662;height:1363" o:preferrelative="t">
              <v:stroke miterlimit="2"/>
              <v:textbox>
                <w:txbxContent>
                  <w:p w:rsidR="00836F4E" w:rsidRDefault="00493F6B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 w:rsidR="00836F4E" w:rsidRDefault="00836F4E"/>
                </w:txbxContent>
              </v:textbox>
            </v:rect>
          </v:group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491" o:spid="_x0000_s1046" style="position:absolute;left:0;text-align:left;margin-left:273.6pt;margin-top:57.9pt;width:104.7pt;height:39.8pt;z-index:251660288" o:preferrelative="t">
            <v:stroke miterlimit="2"/>
            <v:textbox>
              <w:txbxContent>
                <w:p w:rsidR="00836F4E" w:rsidRDefault="00493F6B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490" o:spid="_x0000_s1047" style="position:absolute;left:0;text-align:left;margin-left:-1.45pt;margin-top:.9pt;width:133.1pt;height:68.15pt;z-index:251659264" o:preferrelative="t">
            <v:stroke miterlimit="2"/>
            <v:textbox>
              <w:txbxContent>
                <w:p w:rsidR="00836F4E" w:rsidRDefault="00493F6B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 w:rsidR="00836F4E" w:rsidRDefault="00836F4E"/>
              </w:txbxContent>
            </v:textbox>
          </v:rect>
        </w:pict>
      </w:r>
    </w:p>
    <w:p w:rsidR="00836F4E" w:rsidRDefault="00493F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488" o:spid="_x0000_s1048" style="position:absolute;left:0;text-align:left;margin-left:273.6pt;margin-top:26.7pt;width:104.7pt;height:39.8pt;z-index:251658240" o:preferrelative="t">
            <v:stroke miterlimit="2"/>
            <v:textbox>
              <w:txbxContent>
                <w:p w:rsidR="00836F4E" w:rsidRDefault="00493F6B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836F4E" w:rsidRDefault="00836F4E">
      <w:pPr>
        <w:ind w:right="300"/>
        <w:jc w:val="center"/>
        <w:rPr>
          <w:rFonts w:ascii="Times New Roman" w:hAnsi="Times New Roman" w:cs="Times New Roman"/>
        </w:rPr>
      </w:pPr>
    </w:p>
    <w:sectPr w:rsidR="00836F4E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6B" w:rsidRDefault="00493F6B">
      <w:r>
        <w:separator/>
      </w:r>
    </w:p>
  </w:endnote>
  <w:endnote w:type="continuationSeparator" w:id="0">
    <w:p w:rsidR="00493F6B" w:rsidRDefault="0049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E" w:rsidRDefault="00493F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9B3" w:rsidRPr="007479B3">
      <w:rPr>
        <w:noProof/>
        <w:lang w:val="zh-CN"/>
      </w:rPr>
      <w:t>1</w:t>
    </w:r>
    <w:r>
      <w:rPr>
        <w:lang w:val="zh-CN"/>
      </w:rPr>
      <w:fldChar w:fldCharType="end"/>
    </w:r>
  </w:p>
  <w:p w:rsidR="00836F4E" w:rsidRDefault="00836F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E" w:rsidRDefault="00493F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9B3" w:rsidRPr="007479B3">
      <w:rPr>
        <w:noProof/>
        <w:lang w:val="zh-CN"/>
      </w:rPr>
      <w:t>7</w:t>
    </w:r>
    <w:r>
      <w:rPr>
        <w:lang w:val="zh-CN"/>
      </w:rPr>
      <w:fldChar w:fldCharType="end"/>
    </w:r>
  </w:p>
  <w:p w:rsidR="00836F4E" w:rsidRDefault="00836F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4E" w:rsidRDefault="00493F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79B3" w:rsidRPr="007479B3">
      <w:rPr>
        <w:noProof/>
        <w:lang w:val="zh-CN"/>
      </w:rPr>
      <w:t>8</w:t>
    </w:r>
    <w:r>
      <w:fldChar w:fldCharType="end"/>
    </w:r>
  </w:p>
  <w:p w:rsidR="00836F4E" w:rsidRDefault="00836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6B" w:rsidRDefault="00493F6B">
      <w:r>
        <w:separator/>
      </w:r>
    </w:p>
  </w:footnote>
  <w:footnote w:type="continuationSeparator" w:id="0">
    <w:p w:rsidR="00493F6B" w:rsidRDefault="0049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2FBA5F21"/>
    <w:rsid w:val="350D22AE"/>
    <w:rsid w:val="356B68E6"/>
    <w:rsid w:val="5C4F1FDE"/>
    <w:rsid w:val="77EC549A"/>
    <w:rsid w:val="7C1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Straight Connector 493"/>
        <o:r id="V:Rule2" type="connector" idref="#Straight Connector 495"/>
        <o:r id="V:Rule3" type="connector" idref="#Straight Connector 494"/>
        <o:r id="V:Rule4" type="connector" idref="#Straight Connector 504"/>
        <o:r id="V:Rule5" type="connector" idref="#Straight Connector 503"/>
        <o:r id="V:Rule6" type="connector" idref="#Straight Connector 496"/>
        <o:r id="V:Rule7" type="connector" idref="#Straight Connector 497"/>
        <o:r id="V:Rule8" type="connector" idref="#Straight Connector 507"/>
        <o:r id="V:Rule9" type="connector" idref="#Straight Connector 505"/>
        <o:r id="V:Rule10" type="connector" idref="#Straight Connector 506"/>
      </o:rules>
    </o:shapelayout>
  </w:shapeDefaults>
  <w:decimalSymbol w:val="."/>
  <w:listSeparator w:val=","/>
  <w15:docId w15:val="{045BAA05-F233-4BF3-A56C-6536AE0D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cs="Times New Roman"/>
    </w:rPr>
  </w:style>
  <w:style w:type="paragraph" w:styleId="a5">
    <w:name w:val="Body Text"/>
    <w:basedOn w:val="a"/>
    <w:link w:val="Char1"/>
    <w:uiPriority w:val="1"/>
    <w:qFormat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unhideWhenUsed/>
    <w:qFormat/>
    <w:rPr>
      <w:sz w:val="21"/>
      <w:szCs w:val="21"/>
    </w:rPr>
  </w:style>
  <w:style w:type="character" w:styleId="ad">
    <w:name w:val="footnote reference"/>
    <w:unhideWhenUsed/>
    <w:qFormat/>
    <w:rPr>
      <w:rFonts w:ascii="Times New Roman" w:hAnsi="Times New Roman" w:cs="Times New Roman"/>
      <w:vertAlign w:val="superscript"/>
    </w:rPr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qFormat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qFormat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afe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编号：57013               _x0001_</dc:title>
  <dc:creator>裴建君2</dc:creator>
  <cp:lastModifiedBy>孟田</cp:lastModifiedBy>
  <cp:revision>1</cp:revision>
  <cp:lastPrinted>2020-05-08T01:02:00Z</cp:lastPrinted>
  <dcterms:created xsi:type="dcterms:W3CDTF">2020-02-17T02:50:00Z</dcterms:created>
  <dcterms:modified xsi:type="dcterms:W3CDTF">2021-02-07T03:21:00Z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