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24" w:rsidRDefault="00135524">
      <w:pPr>
        <w:jc w:val="center"/>
        <w:rPr>
          <w:rFonts w:ascii="Times New Roman" w:hAnsi="Times New Roman" w:cs="Times New Roman"/>
          <w:b/>
          <w:bCs/>
          <w:sz w:val="36"/>
          <w:szCs w:val="36"/>
        </w:rPr>
      </w:pPr>
      <w:r>
        <w:rPr>
          <w:rFonts w:cs="宋体" w:hint="eastAsia"/>
          <w:b/>
          <w:bCs/>
          <w:sz w:val="36"/>
          <w:szCs w:val="36"/>
        </w:rPr>
        <w:t>海关特殊监管区域外汇监测服务系统</w:t>
      </w:r>
    </w:p>
    <w:p w:rsidR="00135524" w:rsidRDefault="00135524">
      <w:pPr>
        <w:jc w:val="center"/>
        <w:rPr>
          <w:rFonts w:ascii="Times New Roman" w:hAnsi="Times New Roman" w:cs="Times New Roman"/>
          <w:b/>
          <w:bCs/>
          <w:sz w:val="36"/>
          <w:szCs w:val="36"/>
        </w:rPr>
      </w:pPr>
      <w:r>
        <w:rPr>
          <w:rFonts w:cs="宋体" w:hint="eastAsia"/>
          <w:b/>
          <w:bCs/>
          <w:sz w:val="36"/>
          <w:szCs w:val="36"/>
        </w:rPr>
        <w:t>率先在张家港推广上线</w:t>
      </w:r>
    </w:p>
    <w:p w:rsidR="00135524" w:rsidRDefault="00135524">
      <w:pPr>
        <w:jc w:val="center"/>
        <w:rPr>
          <w:rFonts w:ascii="仿宋" w:eastAsia="仿宋" w:hAnsi="仿宋" w:cstheme="minorBidi"/>
          <w:sz w:val="30"/>
          <w:szCs w:val="30"/>
        </w:rPr>
      </w:pPr>
    </w:p>
    <w:p w:rsidR="00135524" w:rsidRDefault="00135524">
      <w:pPr>
        <w:pStyle w:val="BodyTextIndent2"/>
        <w:ind w:firstLine="31680"/>
        <w:rPr>
          <w:rFonts w:cstheme="minorBidi"/>
        </w:rPr>
      </w:pPr>
      <w:r>
        <w:rPr>
          <w:rFonts w:hint="eastAsia"/>
        </w:rPr>
        <w:t>根据苏州市人民政府关于海关特殊监管区域外汇监测服务平台推广工作会议精神，张家港地区有关部门及早开展了相关准备工作。通过深入研究和积极会商，张家港市人民政府形成了“关于保税区、保税港区外汇监测服务系统推广安排”的专题会议纪要。</w:t>
      </w:r>
    </w:p>
    <w:p w:rsidR="00135524" w:rsidRDefault="00135524">
      <w:pPr>
        <w:ind w:firstLineChars="200" w:firstLine="31680"/>
        <w:rPr>
          <w:rFonts w:ascii="仿宋" w:eastAsia="仿宋" w:hAnsi="仿宋" w:cstheme="minorBidi"/>
          <w:sz w:val="30"/>
          <w:szCs w:val="30"/>
        </w:rPr>
      </w:pPr>
      <w:r>
        <w:rPr>
          <w:rFonts w:ascii="仿宋" w:eastAsia="仿宋" w:hAnsi="仿宋" w:cs="仿宋" w:hint="eastAsia"/>
          <w:sz w:val="30"/>
          <w:szCs w:val="30"/>
        </w:rPr>
        <w:t>按照推广工作的部署，外汇局张家港市支局根据《国家外汇管理局苏州市中心支局关于开展海关特殊监管区域货物贸易外汇管理改革试点的通知》精神，出台了符合本地区改革推广的相关政策和操作指引，按时完成了对辖内银行和企业的政策培训与业务指导。在软硬件基本条件已经成熟的基础上，海关特殊监管区域外汇监测服务系统于</w:t>
      </w:r>
      <w:r>
        <w:rPr>
          <w:rFonts w:ascii="仿宋" w:eastAsia="仿宋" w:hAnsi="仿宋" w:cs="仿宋"/>
          <w:sz w:val="30"/>
          <w:szCs w:val="30"/>
        </w:rPr>
        <w:t>2014</w:t>
      </w:r>
      <w:r>
        <w:rPr>
          <w:rFonts w:ascii="仿宋" w:eastAsia="仿宋" w:hAnsi="仿宋" w:cs="仿宋" w:hint="eastAsia"/>
          <w:sz w:val="30"/>
          <w:szCs w:val="30"/>
        </w:rPr>
        <w:t>年</w:t>
      </w:r>
      <w:r>
        <w:rPr>
          <w:rFonts w:ascii="仿宋" w:eastAsia="仿宋" w:hAnsi="仿宋" w:cs="仿宋"/>
          <w:sz w:val="30"/>
          <w:szCs w:val="30"/>
        </w:rPr>
        <w:t>10</w:t>
      </w:r>
      <w:r>
        <w:rPr>
          <w:rFonts w:ascii="仿宋" w:eastAsia="仿宋" w:hAnsi="仿宋" w:cs="仿宋" w:hint="eastAsia"/>
          <w:sz w:val="30"/>
          <w:szCs w:val="30"/>
        </w:rPr>
        <w:t>月</w:t>
      </w:r>
      <w:r>
        <w:rPr>
          <w:rFonts w:ascii="仿宋" w:eastAsia="仿宋" w:hAnsi="仿宋" w:cs="仿宋"/>
          <w:sz w:val="30"/>
          <w:szCs w:val="30"/>
        </w:rPr>
        <w:t>31</w:t>
      </w:r>
      <w:r>
        <w:rPr>
          <w:rFonts w:ascii="仿宋" w:eastAsia="仿宋" w:hAnsi="仿宋" w:cs="仿宋" w:hint="eastAsia"/>
          <w:sz w:val="30"/>
          <w:szCs w:val="30"/>
        </w:rPr>
        <w:t>日在张家港如期上线，从而标志着该系统在苏州全辖的推广工作已经迈出了第一步。</w:t>
      </w:r>
    </w:p>
    <w:p w:rsidR="00135524" w:rsidRDefault="00135524">
      <w:pPr>
        <w:ind w:firstLineChars="200" w:firstLine="31680"/>
        <w:rPr>
          <w:rFonts w:ascii="黑体" w:eastAsia="黑体" w:hAnsi="仿宋" w:cstheme="minorBidi"/>
          <w:sz w:val="30"/>
          <w:szCs w:val="30"/>
        </w:rPr>
      </w:pPr>
      <w:r>
        <w:rPr>
          <w:rFonts w:ascii="黑体" w:eastAsia="黑体" w:hAnsi="仿宋" w:cs="黑体" w:hint="eastAsia"/>
          <w:sz w:val="30"/>
          <w:szCs w:val="30"/>
        </w:rPr>
        <w:t>一、领导重视与部门合作是推广工作开展的重要前提</w:t>
      </w:r>
    </w:p>
    <w:p w:rsidR="00135524" w:rsidRDefault="00135524">
      <w:pPr>
        <w:ind w:firstLineChars="200" w:firstLine="31680"/>
        <w:rPr>
          <w:rFonts w:ascii="仿宋" w:eastAsia="仿宋" w:hAnsi="仿宋" w:cstheme="minorBidi"/>
          <w:sz w:val="30"/>
          <w:szCs w:val="30"/>
        </w:rPr>
      </w:pPr>
      <w:r>
        <w:rPr>
          <w:rFonts w:ascii="仿宋" w:eastAsia="仿宋" w:hAnsi="仿宋" w:cs="仿宋" w:hint="eastAsia"/>
          <w:sz w:val="30"/>
          <w:szCs w:val="30"/>
        </w:rPr>
        <w:t>本次推广工作体现了苏州市政府，包括苏州工业园区管委会和张家港市政府，以及外汇局苏州市中心支局相关领导的高度重视和大力推动，同时也体现了苏州工业园区国际商务区管委会、苏州物流中心有限公司以及张家港保税区管委会、张家港保税区海关、张家港口岸办、张家港电子口岸、外汇局张家港市支局等各级政府和相关部门的大力支持与通力协作，最终使推广工作在张家港地区率先启动。</w:t>
      </w:r>
    </w:p>
    <w:p w:rsidR="00135524" w:rsidRDefault="00135524">
      <w:pPr>
        <w:ind w:firstLineChars="200" w:firstLine="31680"/>
        <w:rPr>
          <w:rFonts w:ascii="黑体" w:eastAsia="黑体" w:hAnsi="仿宋" w:cstheme="minorBidi"/>
          <w:sz w:val="30"/>
          <w:szCs w:val="30"/>
        </w:rPr>
      </w:pPr>
      <w:r>
        <w:rPr>
          <w:rFonts w:ascii="黑体" w:eastAsia="黑体" w:hAnsi="仿宋" w:cs="黑体" w:hint="eastAsia"/>
          <w:sz w:val="30"/>
          <w:szCs w:val="30"/>
        </w:rPr>
        <w:t>二、支持外贸创新和推进简政放权是推广工作的目标</w:t>
      </w:r>
    </w:p>
    <w:p w:rsidR="00135524" w:rsidRDefault="00135524">
      <w:pPr>
        <w:pStyle w:val="BodyText2"/>
        <w:ind w:firstLine="31680"/>
        <w:rPr>
          <w:rFonts w:cstheme="minorBidi"/>
          <w:sz w:val="30"/>
          <w:szCs w:val="30"/>
        </w:rPr>
      </w:pPr>
      <w:r>
        <w:rPr>
          <w:rFonts w:hint="eastAsia"/>
          <w:sz w:val="30"/>
          <w:szCs w:val="30"/>
        </w:rPr>
        <w:t>海关特殊监管区域外汇监测服务系统由外汇局苏州市中心支局和苏州工业园区国际商务区管委会联合开发。实践证明，该系统在集合大数据的基础上，通过完善指标体系实行进程管理，推进了区域的贸易便利化和贸易多元化。监管部门在简化管理的同时，促使企业进行自我管理诚信经营。本次在张家港的上线将在推动海关特殊监管区域在岸转手买卖、大宗商品交易市场、大宗商品期货保税交割等新型业态发展方面发挥重要作用。</w:t>
      </w:r>
    </w:p>
    <w:p w:rsidR="00135524" w:rsidRDefault="00135524">
      <w:pPr>
        <w:ind w:firstLineChars="200" w:firstLine="31680"/>
        <w:rPr>
          <w:rFonts w:ascii="仿宋" w:eastAsia="仿宋" w:hAnsi="仿宋" w:cstheme="minorBidi"/>
          <w:sz w:val="30"/>
          <w:szCs w:val="30"/>
        </w:rPr>
      </w:pPr>
      <w:r>
        <w:rPr>
          <w:rFonts w:ascii="仿宋" w:eastAsia="仿宋" w:hAnsi="仿宋" w:cs="仿宋" w:hint="eastAsia"/>
          <w:sz w:val="30"/>
          <w:szCs w:val="30"/>
        </w:rPr>
        <w:t>截至目前，张家港的推广工作已取得初步成效，已办理名录登记企业</w:t>
      </w:r>
      <w:r>
        <w:rPr>
          <w:rFonts w:ascii="仿宋" w:eastAsia="仿宋" w:hAnsi="仿宋" w:cs="仿宋"/>
          <w:sz w:val="30"/>
          <w:szCs w:val="30"/>
        </w:rPr>
        <w:t>334</w:t>
      </w:r>
      <w:r>
        <w:rPr>
          <w:rFonts w:ascii="仿宋" w:eastAsia="仿宋" w:hAnsi="仿宋" w:cs="仿宋" w:hint="eastAsia"/>
          <w:sz w:val="30"/>
          <w:szCs w:val="30"/>
        </w:rPr>
        <w:t>家，其中生产企业</w:t>
      </w:r>
      <w:r>
        <w:rPr>
          <w:rFonts w:ascii="仿宋" w:eastAsia="仿宋" w:hAnsi="仿宋" w:cs="仿宋"/>
          <w:sz w:val="30"/>
          <w:szCs w:val="30"/>
        </w:rPr>
        <w:t>23</w:t>
      </w:r>
      <w:r>
        <w:rPr>
          <w:rFonts w:ascii="仿宋" w:eastAsia="仿宋" w:hAnsi="仿宋" w:cs="仿宋" w:hint="eastAsia"/>
          <w:sz w:val="30"/>
          <w:szCs w:val="30"/>
        </w:rPr>
        <w:t>家、仓储物流企业</w:t>
      </w:r>
      <w:r>
        <w:rPr>
          <w:rFonts w:ascii="仿宋" w:eastAsia="仿宋" w:hAnsi="仿宋" w:cs="仿宋"/>
          <w:sz w:val="30"/>
          <w:szCs w:val="30"/>
        </w:rPr>
        <w:t>276</w:t>
      </w:r>
      <w:r>
        <w:rPr>
          <w:rFonts w:ascii="仿宋" w:eastAsia="仿宋" w:hAnsi="仿宋" w:cs="仿宋" w:hint="eastAsia"/>
          <w:sz w:val="30"/>
          <w:szCs w:val="30"/>
        </w:rPr>
        <w:t>家、贸易企业</w:t>
      </w:r>
      <w:r>
        <w:rPr>
          <w:rFonts w:ascii="仿宋" w:eastAsia="仿宋" w:hAnsi="仿宋" w:cs="仿宋"/>
          <w:sz w:val="30"/>
          <w:szCs w:val="30"/>
        </w:rPr>
        <w:t>14</w:t>
      </w:r>
      <w:r>
        <w:rPr>
          <w:rFonts w:ascii="仿宋" w:eastAsia="仿宋" w:hAnsi="仿宋" w:cs="仿宋" w:hint="eastAsia"/>
          <w:sz w:val="30"/>
          <w:szCs w:val="30"/>
        </w:rPr>
        <w:t>家。</w:t>
      </w:r>
      <w:bookmarkStart w:id="0" w:name="_GoBack"/>
      <w:bookmarkEnd w:id="0"/>
      <w:r>
        <w:rPr>
          <w:rFonts w:ascii="仿宋" w:eastAsia="仿宋" w:hAnsi="仿宋" w:cs="仿宋" w:hint="eastAsia"/>
          <w:sz w:val="30"/>
          <w:szCs w:val="30"/>
        </w:rPr>
        <w:t>针对今后的推广工作，我们将继续遵照苏州市政府推广工作部署，积极配合各市（区）的保税监管区域管委会等政府部门，按照制度能保障和技术可支撑的基础条件，做到成熟一个、推广一个，努力推进苏州自贸区功能建设。</w:t>
      </w:r>
    </w:p>
    <w:p w:rsidR="00135524" w:rsidRDefault="00135524">
      <w:pPr>
        <w:ind w:firstLineChars="200" w:firstLine="31680"/>
        <w:rPr>
          <w:rFonts w:ascii="仿宋" w:eastAsia="仿宋" w:hAnsi="仿宋" w:cstheme="minorBidi"/>
          <w:sz w:val="30"/>
          <w:szCs w:val="30"/>
        </w:rPr>
      </w:pPr>
    </w:p>
    <w:p w:rsidR="00135524" w:rsidRDefault="00135524">
      <w:pPr>
        <w:ind w:firstLineChars="1600" w:firstLine="31680"/>
        <w:rPr>
          <w:rFonts w:ascii="仿宋" w:eastAsia="仿宋" w:hAnsi="仿宋" w:cstheme="minorBidi"/>
          <w:sz w:val="30"/>
          <w:szCs w:val="30"/>
        </w:rPr>
      </w:pPr>
      <w:r>
        <w:rPr>
          <w:rFonts w:ascii="仿宋" w:eastAsia="仿宋" w:hAnsi="仿宋" w:cs="仿宋" w:hint="eastAsia"/>
          <w:sz w:val="30"/>
          <w:szCs w:val="30"/>
        </w:rPr>
        <w:t>苏州中支经常项目管理科</w:t>
      </w:r>
    </w:p>
    <w:p w:rsidR="00135524" w:rsidRDefault="00135524">
      <w:pPr>
        <w:ind w:firstLineChars="1800" w:firstLine="31680"/>
        <w:rPr>
          <w:rFonts w:ascii="仿宋" w:eastAsia="仿宋" w:hAnsi="仿宋" w:cstheme="minorBidi"/>
          <w:sz w:val="30"/>
          <w:szCs w:val="30"/>
        </w:rPr>
      </w:pPr>
      <w:r>
        <w:rPr>
          <w:rFonts w:ascii="仿宋" w:eastAsia="仿宋" w:hAnsi="仿宋" w:cs="仿宋"/>
          <w:sz w:val="30"/>
          <w:szCs w:val="30"/>
        </w:rPr>
        <w:t>2014</w:t>
      </w:r>
      <w:r>
        <w:rPr>
          <w:rFonts w:ascii="仿宋" w:eastAsia="仿宋" w:hAnsi="仿宋" w:cs="仿宋" w:hint="eastAsia"/>
          <w:sz w:val="30"/>
          <w:szCs w:val="30"/>
        </w:rPr>
        <w:t>年</w:t>
      </w:r>
      <w:r>
        <w:rPr>
          <w:rFonts w:ascii="仿宋" w:eastAsia="仿宋" w:hAnsi="仿宋" w:cs="仿宋"/>
          <w:sz w:val="30"/>
          <w:szCs w:val="30"/>
        </w:rPr>
        <w:t>11</w:t>
      </w:r>
      <w:r>
        <w:rPr>
          <w:rFonts w:ascii="仿宋" w:eastAsia="仿宋" w:hAnsi="仿宋" w:cs="仿宋" w:hint="eastAsia"/>
          <w:sz w:val="30"/>
          <w:szCs w:val="30"/>
        </w:rPr>
        <w:t>月</w:t>
      </w:r>
      <w:r>
        <w:rPr>
          <w:rFonts w:ascii="仿宋" w:eastAsia="仿宋" w:hAnsi="仿宋" w:cs="仿宋"/>
          <w:sz w:val="30"/>
          <w:szCs w:val="30"/>
        </w:rPr>
        <w:t>29</w:t>
      </w:r>
      <w:r>
        <w:rPr>
          <w:rFonts w:ascii="仿宋" w:eastAsia="仿宋" w:hAnsi="仿宋" w:cs="仿宋" w:hint="eastAsia"/>
          <w:sz w:val="30"/>
          <w:szCs w:val="30"/>
        </w:rPr>
        <w:t>日</w:t>
      </w:r>
    </w:p>
    <w:sectPr w:rsidR="00135524" w:rsidSect="001355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仿宋_GB2312"/>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524"/>
    <w:rsid w:val="001355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宋体" w:hAnsi="Calibri" w:cs="Calibri"/>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pPr>
      <w:widowControl/>
    </w:pPr>
    <w:rPr>
      <w:rFonts w:ascii="Times New Roman" w:hAnsi="Times New Roman" w:cs="Times New Roman"/>
      <w:kern w:val="0"/>
    </w:rPr>
  </w:style>
  <w:style w:type="paragraph" w:styleId="BodyText2">
    <w:name w:val="Body Text 2"/>
    <w:basedOn w:val="Normal"/>
    <w:link w:val="BodyText2Char"/>
    <w:uiPriority w:val="99"/>
    <w:pPr>
      <w:ind w:firstLineChars="200" w:firstLine="640"/>
    </w:pPr>
    <w:rPr>
      <w:rFonts w:ascii="仿宋" w:eastAsia="仿宋" w:hAnsi="仿宋" w:cs="仿宋"/>
      <w:sz w:val="32"/>
      <w:szCs w:val="32"/>
    </w:rPr>
  </w:style>
  <w:style w:type="character" w:customStyle="1" w:styleId="BodyText2Char">
    <w:name w:val="Body Text 2 Char"/>
    <w:basedOn w:val="DefaultParagraphFont"/>
    <w:link w:val="BodyText2"/>
    <w:uiPriority w:val="99"/>
    <w:rPr>
      <w:rFonts w:ascii="Calibri" w:eastAsia="宋体" w:hAnsi="Calibri" w:cs="Calibri"/>
      <w:sz w:val="21"/>
      <w:szCs w:val="21"/>
    </w:rPr>
  </w:style>
  <w:style w:type="paragraph" w:styleId="BodyTextIndent2">
    <w:name w:val="Body Text Indent 2"/>
    <w:basedOn w:val="Normal"/>
    <w:link w:val="BodyTextIndent2Char"/>
    <w:uiPriority w:val="99"/>
    <w:pPr>
      <w:ind w:firstLineChars="200" w:firstLine="600"/>
    </w:pPr>
    <w:rPr>
      <w:rFonts w:ascii="仿宋" w:eastAsia="仿宋" w:hAnsi="仿宋" w:cs="仿宋"/>
      <w:sz w:val="30"/>
      <w:szCs w:val="30"/>
    </w:rPr>
  </w:style>
  <w:style w:type="character" w:customStyle="1" w:styleId="BodyTextIndent2Char">
    <w:name w:val="Body Text Indent 2 Char"/>
    <w:basedOn w:val="DefaultParagraphFont"/>
    <w:link w:val="BodyTextIndent2"/>
    <w:uiPriority w:val="99"/>
    <w:semiHidden/>
    <w:rsid w:val="00135524"/>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145</Words>
  <Characters>828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海关特殊监管区域外汇监测服务系统在张家港推广上线</dc:title>
  <dc:subject/>
  <dc:creator>USER</dc:creator>
  <cp:keywords/>
  <dc:description/>
  <cp:lastModifiedBy>潘玉详</cp:lastModifiedBy>
  <cp:revision>5</cp:revision>
  <dcterms:created xsi:type="dcterms:W3CDTF">2014-11-05T02:53:00Z</dcterms:created>
  <dcterms:modified xsi:type="dcterms:W3CDTF">2014-11-29T03:41:00Z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