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48"/>
          <w:szCs w:val="48"/>
        </w:rPr>
        <w:t xml:space="preserve">编号：57017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_x0000_i1025" o:spt="75" type="#_x0000_t75" style="height:69.75pt;width:87.0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“外汇账户（含边贸人民币结算专用账户）的开立、变更、关闭、撤销以及账户允许保留限额核准”行政审批服务指南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河南省分局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hAnsi="Times New Roman" w:eastAsia="仿宋_GB2312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项目编号：57017；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本指南适用于“外汇账户的开立、变更、关闭、撤销以及账户允许保留限额核准”的申请和办理。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《国务院对确需保留的行政审批项目设定行政许可的决定》（国务院令第412号）附件第493项“外汇账户（含边贸人民币结算专用账户）的开立、变更、关闭、撤销以及账户允许保留限额核准。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四、服务贸易外汇收入存放境外外汇账户审批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国家外汇管理局关于印发〈经常项目外汇业务指引（2020年版）〉的通知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》（汇发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〔2020〕14号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Style w:val="19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Style w:val="19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15" w:rightChars="0" w:firstLine="512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pacing w:val="-12"/>
          <w:sz w:val="30"/>
          <w:szCs w:val="30"/>
        </w:rPr>
        <w:t>咨询、进程查询、监督和投诉等可通过</w:t>
      </w:r>
      <w:r>
        <w:rPr>
          <w:rFonts w:hint="eastAsia" w:ascii="Times New Roman" w:hAnsi="Times New Roman" w:eastAsia="仿宋_GB2312" w:cs="Times New Roman"/>
          <w:color w:val="auto"/>
          <w:spacing w:val="-12"/>
          <w:sz w:val="30"/>
          <w:szCs w:val="30"/>
          <w:lang w:eastAsia="zh-CN"/>
        </w:rPr>
        <w:t>国家外汇管理局河南省分局网站（</w:t>
      </w:r>
      <w:r>
        <w:rPr>
          <w:rFonts w:hint="eastAsia" w:ascii="Times New Roman" w:hAnsi="Times New Roman" w:eastAsia="仿宋_GB2312" w:cs="Times New Roman"/>
          <w:color w:val="auto"/>
          <w:spacing w:val="-12"/>
          <w:sz w:val="30"/>
          <w:szCs w:val="30"/>
          <w:lang w:val="en-US" w:eastAsia="zh-CN"/>
        </w:rPr>
        <w:t>www.safe.gov.cn/henan）</w:t>
      </w:r>
      <w:r>
        <w:rPr>
          <w:rFonts w:hint="eastAsia" w:ascii="Times New Roman" w:hAnsi="Times New Roman" w:eastAsia="仿宋_GB2312" w:cs="Times New Roman"/>
          <w:color w:val="auto"/>
          <w:spacing w:val="-12"/>
          <w:sz w:val="30"/>
          <w:szCs w:val="30"/>
        </w:rPr>
        <w:t>进行，也可通过外汇局网站上公布的电话进行。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2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</w:rPr>
      </w:pP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</w:rPr>
        <w:t>办理机构：国家外汇管理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局</w:t>
      </w:r>
      <w:r>
        <w:rPr>
          <w:rFonts w:hint="eastAsia" w:ascii="Times New Roman" w:hAnsi="Times New Roman" w:eastAsia="仿宋_GB2312" w:cs="Times New Roman"/>
          <w:color w:val="auto"/>
        </w:rPr>
        <w:t>河南省分局及各市中心支局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2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auto"/>
        </w:rPr>
        <w:t>国家外汇管理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局</w:t>
      </w:r>
      <w:r>
        <w:rPr>
          <w:rFonts w:hint="eastAsia" w:ascii="Times New Roman" w:hAnsi="Times New Roman" w:eastAsia="仿宋_GB2312" w:cs="Times New Roman"/>
          <w:color w:val="auto"/>
        </w:rPr>
        <w:t>河南省分局办公地址：郑州市郑东新区商务外环路21号</w:t>
      </w: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2309房间。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2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</w:rPr>
        <w:t>办公时间：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上午8：30-12：00；下午2：30-5：30（10月-次年4月）；下午3：00-6：00（5月-9月）（节假日除外）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2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联系电话：0371-69089513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2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</w:rPr>
        <w:t>国家外汇管理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局</w:t>
      </w:r>
      <w:r>
        <w:rPr>
          <w:rFonts w:hint="eastAsia" w:ascii="Times New Roman" w:hAnsi="Times New Roman" w:eastAsia="仿宋_GB2312" w:cs="Times New Roman"/>
          <w:color w:val="auto"/>
        </w:rPr>
        <w:t>河南省各市中心支局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办公地址、办公时间和联系电话，</w:t>
      </w:r>
      <w:r>
        <w:rPr>
          <w:rFonts w:hint="eastAsia" w:ascii="Times New Roman" w:hAnsi="Times New Roman" w:eastAsia="仿宋_GB2312" w:cs="Times New Roman"/>
          <w:color w:val="auto"/>
        </w:rPr>
        <w:t>见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国家外汇管理局河南省分局</w:t>
      </w:r>
      <w:r>
        <w:rPr>
          <w:rFonts w:hint="eastAsia" w:ascii="Times New Roman" w:hAnsi="Times New Roman" w:eastAsia="仿宋_GB2312" w:cs="Times New Roman"/>
          <w:color w:val="auto"/>
        </w:rPr>
        <w:t>官方互联网站。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关于开立服务贸易外汇收入存放境外外汇账户的申请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我公司成立于XXXX年，注册资金XX万元，注册地址XX（公司基本情况介绍）。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XXXX年，我公司服务贸易外汇收入和支出金额分别为……，同比分别增长（下降）……。</w:t>
      </w:r>
      <w:r>
        <w:rPr>
          <w:rFonts w:ascii="Times New Roman" w:hAnsi="Times New Roman" w:eastAsia="仿宋_GB2312" w:cs="Times New Roman"/>
          <w:sz w:val="30"/>
          <w:szCs w:val="30"/>
        </w:rPr>
        <w:t>因XX业务需要，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在X国开立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</w:t>
      </w:r>
      <w:r>
        <w:rPr>
          <w:rFonts w:ascii="Times New Roman" w:hAnsi="Times New Roman" w:eastAsia="仿宋_GB2312" w:cs="Times New Roman"/>
          <w:sz w:val="30"/>
          <w:szCs w:val="30"/>
        </w:rPr>
        <w:t>存放境外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</w:t>
      </w:r>
      <w:r>
        <w:rPr>
          <w:rFonts w:ascii="Times New Roman" w:hAnsi="Times New Roman" w:eastAsia="仿宋_GB2312" w:cs="Times New Roman"/>
          <w:sz w:val="30"/>
          <w:szCs w:val="30"/>
        </w:rPr>
        <w:t>账户，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详细信息如下：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适用币种：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开户银行：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账户使用期限：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存放境外资金规模：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账户收支范围：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（开立账户后，存放境外内部管理制度介绍）。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特此申请。</w:t>
      </w:r>
    </w:p>
    <w:p>
      <w:pPr>
        <w:wordWrap w:val="0"/>
        <w:adjustRightInd w:val="0"/>
        <w:snapToGrid w:val="0"/>
        <w:spacing w:line="360" w:lineRule="auto"/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XX公司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1.申请存放境外需要具备哪些条件？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；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某公司近两年因违反外汇管理规定被处罚，申请该业务。</w:t>
      </w: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25" o:spid="_x0000_s1027" o:spt="203" style="position:absolute;left:0pt;margin-left:-42.35pt;margin-top:35.25pt;height:473.2pt;width:472.7pt;z-index:251658240;mso-width-relative:page;mso-height-relative:page;" coordorigin="825,3393" coordsize="9454,9464">
            <o:lock v:ext="edit" position="f" selection="f" grouping="f" rotation="f" cropping="f" text="f" aspectratio="f"/>
            <v:shape id="直接箭头连接符 21" o:spid="_x0000_s1028" o:spt="32" type="#_x0000_t32" style="position:absolute;left:2402;top:4552;height:1468;width:17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箭头连接符 17" o:spid="_x0000_s1029" o:spt="32" type="#_x0000_t32" style="position:absolute;left:4275;top:5918;height:1;width:564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箭头连接符 16" o:spid="_x0000_s1030" o:spt="32" type="#_x0000_t32" style="position:absolute;left:4275;top:6752;height:1;width:564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箭头连接符 18" o:spid="_x0000_s1031" o:spt="34" type="#_x0000_t34" style="position:absolute;left:8573;top:5455;height:1;width:271;rotation:17694720f;" fillcolor="#FFFFFF" filled="t" o:preferrelative="t" stroked="t" coordsize="21600,21600" adj="1076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箭头连接符 19" o:spid="_x0000_s1032" o:spt="32" type="#_x0000_t32" style="position:absolute;left:2417;top:4938;flip:x y;height:72;width:4851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箭头连接符 9" o:spid="_x0000_s1033" o:spt="32" type="#_x0000_t32" style="position:absolute;left:5002;top:9276;height:437;width:0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箭头连接符 11" o:spid="_x0000_s1034" o:spt="32" type="#_x0000_t32" style="position:absolute;left:4986;top:11195;height:905;width:1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箭头连接符 5" o:spid="_x0000_s1035" o:spt="32" type="#_x0000_t32" style="position:absolute;left:2432;top:7405;height:1391;width:0;" fillcolor="#FFFFFF" filled="t" o:preferrelative="t" stroked="t" coordsize="21600,216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shape id="直接箭头连接符 6" o:spid="_x0000_s1036" o:spt="32" type="#_x0000_t32" style="position:absolute;left:2432;top:8792;height:0;width:822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流程图: 决策 2" o:spid="_x0000_s1037" o:spt="110" type="#_x0000_t110" style="position:absolute;left:825;top:5391;height:2085;width:3157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38" o:spt="32" type="#_x0000_t32" style="position:absolute;left:4275;top:5933;height:804;width:0;" fillcolor="#FFFFFF" filled="t" o:preferrelative="t" stroked="t" coordsize="21600,216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shape id="直接箭头连接符 4" o:spid="_x0000_s1039" o:spt="32" type="#_x0000_t32" style="position:absolute;left:3982;top:6416;height:0;width:293;" fillcolor="#FFFFFF" filled="t" o:preferrelative="t" stroked="t" coordsize="21600,216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rect id="矩形 20" o:spid="_x0000_s1040" o:spt="1" style="position:absolute;left:7272;top:4573;height:720;width:2929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/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7" o:spid="_x0000_s1041" o:spt="109" type="#_x0000_t109" style="position:absolute;left:4839;top:5591;height:587;width:5440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/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42" o:spt="1" style="position:absolute;left:4839;top:6592;height:811;width:5440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/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43" o:spt="109" type="#_x0000_t109" style="position:absolute;left:3332;top:8461;height:815;width:3227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/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>
                    <w:pPr/>
                  </w:p>
                </w:txbxContent>
              </v:textbox>
            </v:shape>
            <v:shape id="流程图: 决策 10" o:spid="_x0000_s1044" o:spt="110" type="#_x0000_t110" style="position:absolute;left:3456;top:9713;height:1444;width:3064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45" o:spt="109" type="#_x0000_t109" style="position:absolute;left:3452;top:12100;height:757;width:2987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/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>
                    <w:pPr/>
                  </w:p>
                </w:txbxContent>
              </v:textbox>
            </v:shape>
            <v:shape id="流程图: 过程 14" o:spid="_x0000_s1046" o:spt="109" type="#_x0000_t109" style="position:absolute;left:7786;top:10041;height:766;width:2298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/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>
                    <w:pPr/>
                  </w:p>
                </w:txbxContent>
              </v:textbox>
            </v:shape>
            <v:shape id="直接箭头连接符 15" o:spid="_x0000_s1047" o:spt="32" type="#_x0000_t32" style="position:absolute;left:6520;top:10422;flip:y;height:15;width:1266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流程图: 终止 22" o:spid="_x0000_s1048" o:spt="116" type="#_x0000_t116" style="position:absolute;left:1258;top:3393;height:1172;width:2467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/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>
                    <w:pPr/>
                  </w:p>
                </w:txbxContent>
              </v:textbox>
            </v:shape>
          </v:group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77973"/>
    <w:rsid w:val="00080630"/>
    <w:rsid w:val="00091661"/>
    <w:rsid w:val="00092D53"/>
    <w:rsid w:val="00096CBB"/>
    <w:rsid w:val="00097F7B"/>
    <w:rsid w:val="000B308B"/>
    <w:rsid w:val="000B6901"/>
    <w:rsid w:val="000B728B"/>
    <w:rsid w:val="000C15B3"/>
    <w:rsid w:val="000C2B33"/>
    <w:rsid w:val="000D1995"/>
    <w:rsid w:val="000D7478"/>
    <w:rsid w:val="0012202B"/>
    <w:rsid w:val="0012271F"/>
    <w:rsid w:val="00130519"/>
    <w:rsid w:val="00135BEE"/>
    <w:rsid w:val="00140FCF"/>
    <w:rsid w:val="0014667A"/>
    <w:rsid w:val="00154B58"/>
    <w:rsid w:val="00157C64"/>
    <w:rsid w:val="00157E81"/>
    <w:rsid w:val="00170126"/>
    <w:rsid w:val="00177059"/>
    <w:rsid w:val="00181D3E"/>
    <w:rsid w:val="00182FDC"/>
    <w:rsid w:val="00196FAE"/>
    <w:rsid w:val="001A08D4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222D1"/>
    <w:rsid w:val="00224238"/>
    <w:rsid w:val="00231EED"/>
    <w:rsid w:val="00233841"/>
    <w:rsid w:val="00235F24"/>
    <w:rsid w:val="002417D2"/>
    <w:rsid w:val="00241FE8"/>
    <w:rsid w:val="00242648"/>
    <w:rsid w:val="00243264"/>
    <w:rsid w:val="0024527E"/>
    <w:rsid w:val="00253A10"/>
    <w:rsid w:val="00253F7B"/>
    <w:rsid w:val="00255EAC"/>
    <w:rsid w:val="00262235"/>
    <w:rsid w:val="00263B1F"/>
    <w:rsid w:val="00263BFE"/>
    <w:rsid w:val="002738B5"/>
    <w:rsid w:val="00291C17"/>
    <w:rsid w:val="0029313A"/>
    <w:rsid w:val="002B0B1C"/>
    <w:rsid w:val="002B598D"/>
    <w:rsid w:val="002B61C1"/>
    <w:rsid w:val="002E1323"/>
    <w:rsid w:val="002E4A4E"/>
    <w:rsid w:val="002F3868"/>
    <w:rsid w:val="00302119"/>
    <w:rsid w:val="00302E87"/>
    <w:rsid w:val="00310261"/>
    <w:rsid w:val="00324E79"/>
    <w:rsid w:val="00342642"/>
    <w:rsid w:val="00343044"/>
    <w:rsid w:val="00344B01"/>
    <w:rsid w:val="00353AC4"/>
    <w:rsid w:val="003616B4"/>
    <w:rsid w:val="003A57B2"/>
    <w:rsid w:val="003B0C46"/>
    <w:rsid w:val="003C7132"/>
    <w:rsid w:val="003D4A51"/>
    <w:rsid w:val="003D77A5"/>
    <w:rsid w:val="003E6BF6"/>
    <w:rsid w:val="003F221D"/>
    <w:rsid w:val="003F3097"/>
    <w:rsid w:val="00402AE8"/>
    <w:rsid w:val="00405FE6"/>
    <w:rsid w:val="00406AEB"/>
    <w:rsid w:val="004105BC"/>
    <w:rsid w:val="004163C0"/>
    <w:rsid w:val="00421C27"/>
    <w:rsid w:val="00434C7C"/>
    <w:rsid w:val="00440A1F"/>
    <w:rsid w:val="00443603"/>
    <w:rsid w:val="00443604"/>
    <w:rsid w:val="00447FA5"/>
    <w:rsid w:val="004501EA"/>
    <w:rsid w:val="00460458"/>
    <w:rsid w:val="0046792D"/>
    <w:rsid w:val="004767DF"/>
    <w:rsid w:val="00493CCC"/>
    <w:rsid w:val="004A0218"/>
    <w:rsid w:val="004A7840"/>
    <w:rsid w:val="004B5070"/>
    <w:rsid w:val="004B545A"/>
    <w:rsid w:val="004B7E80"/>
    <w:rsid w:val="004C457E"/>
    <w:rsid w:val="004C48D5"/>
    <w:rsid w:val="004D03B7"/>
    <w:rsid w:val="004D1436"/>
    <w:rsid w:val="004D57AE"/>
    <w:rsid w:val="005056D4"/>
    <w:rsid w:val="005125EC"/>
    <w:rsid w:val="00526B2B"/>
    <w:rsid w:val="005362B0"/>
    <w:rsid w:val="0053703D"/>
    <w:rsid w:val="00542447"/>
    <w:rsid w:val="00545209"/>
    <w:rsid w:val="0055599B"/>
    <w:rsid w:val="00564312"/>
    <w:rsid w:val="005774DB"/>
    <w:rsid w:val="00577B1E"/>
    <w:rsid w:val="00586E61"/>
    <w:rsid w:val="00593C10"/>
    <w:rsid w:val="005A2981"/>
    <w:rsid w:val="005B0F69"/>
    <w:rsid w:val="005C6937"/>
    <w:rsid w:val="005C7F02"/>
    <w:rsid w:val="005D0D5F"/>
    <w:rsid w:val="005F0A86"/>
    <w:rsid w:val="005F144A"/>
    <w:rsid w:val="005F1C00"/>
    <w:rsid w:val="006003C2"/>
    <w:rsid w:val="0061621E"/>
    <w:rsid w:val="00630AA8"/>
    <w:rsid w:val="00630B2E"/>
    <w:rsid w:val="00643D2A"/>
    <w:rsid w:val="006523DA"/>
    <w:rsid w:val="00664E11"/>
    <w:rsid w:val="00673B30"/>
    <w:rsid w:val="006946A7"/>
    <w:rsid w:val="00696E5D"/>
    <w:rsid w:val="006B3DF4"/>
    <w:rsid w:val="006B5B86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70157"/>
    <w:rsid w:val="00785F45"/>
    <w:rsid w:val="007933BD"/>
    <w:rsid w:val="007A2780"/>
    <w:rsid w:val="007A403E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1DC0"/>
    <w:rsid w:val="008A4538"/>
    <w:rsid w:val="008A704B"/>
    <w:rsid w:val="008B079F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5E71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766A"/>
    <w:rsid w:val="009C1AE0"/>
    <w:rsid w:val="009C4672"/>
    <w:rsid w:val="009C491B"/>
    <w:rsid w:val="009C7E8B"/>
    <w:rsid w:val="009D0911"/>
    <w:rsid w:val="009D24F8"/>
    <w:rsid w:val="009D688C"/>
    <w:rsid w:val="009D703D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9342E"/>
    <w:rsid w:val="00AA28A2"/>
    <w:rsid w:val="00AA7717"/>
    <w:rsid w:val="00AB131E"/>
    <w:rsid w:val="00AB3B88"/>
    <w:rsid w:val="00AB644F"/>
    <w:rsid w:val="00AC3F5E"/>
    <w:rsid w:val="00AD2DED"/>
    <w:rsid w:val="00AE7ACF"/>
    <w:rsid w:val="00AF1339"/>
    <w:rsid w:val="00B06409"/>
    <w:rsid w:val="00B17D66"/>
    <w:rsid w:val="00B35D3A"/>
    <w:rsid w:val="00B422F1"/>
    <w:rsid w:val="00B52382"/>
    <w:rsid w:val="00B54103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447"/>
    <w:rsid w:val="00BB7B76"/>
    <w:rsid w:val="00BD233D"/>
    <w:rsid w:val="00BF4EF0"/>
    <w:rsid w:val="00BF7FCF"/>
    <w:rsid w:val="00C02E44"/>
    <w:rsid w:val="00C147D2"/>
    <w:rsid w:val="00C2075F"/>
    <w:rsid w:val="00C23799"/>
    <w:rsid w:val="00C274C9"/>
    <w:rsid w:val="00C275D5"/>
    <w:rsid w:val="00C31E02"/>
    <w:rsid w:val="00C42513"/>
    <w:rsid w:val="00C4465B"/>
    <w:rsid w:val="00C46940"/>
    <w:rsid w:val="00C54291"/>
    <w:rsid w:val="00C601D3"/>
    <w:rsid w:val="00C672C3"/>
    <w:rsid w:val="00C712B2"/>
    <w:rsid w:val="00C74460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CE61BD"/>
    <w:rsid w:val="00D01626"/>
    <w:rsid w:val="00D26728"/>
    <w:rsid w:val="00D26F10"/>
    <w:rsid w:val="00D33A4D"/>
    <w:rsid w:val="00D33F76"/>
    <w:rsid w:val="00D37EC3"/>
    <w:rsid w:val="00D41F5E"/>
    <w:rsid w:val="00D43DC0"/>
    <w:rsid w:val="00D457D1"/>
    <w:rsid w:val="00D54E56"/>
    <w:rsid w:val="00D6407D"/>
    <w:rsid w:val="00D93E78"/>
    <w:rsid w:val="00D9765F"/>
    <w:rsid w:val="00DB61F0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37414"/>
    <w:rsid w:val="00E40E64"/>
    <w:rsid w:val="00E42C5F"/>
    <w:rsid w:val="00E65A1B"/>
    <w:rsid w:val="00E72F1F"/>
    <w:rsid w:val="00E80001"/>
    <w:rsid w:val="00E934AB"/>
    <w:rsid w:val="00EA06AC"/>
    <w:rsid w:val="00EA08BF"/>
    <w:rsid w:val="00EA24FB"/>
    <w:rsid w:val="00EB3204"/>
    <w:rsid w:val="00EB50BA"/>
    <w:rsid w:val="00EC3D33"/>
    <w:rsid w:val="00EC7AC5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A7FB8"/>
    <w:rsid w:val="00FB09C6"/>
    <w:rsid w:val="00FB38EA"/>
    <w:rsid w:val="00FB5E0F"/>
    <w:rsid w:val="00FB5E8C"/>
    <w:rsid w:val="00FB6AFF"/>
    <w:rsid w:val="00FC4D8F"/>
    <w:rsid w:val="00FD06D3"/>
    <w:rsid w:val="00FE3157"/>
    <w:rsid w:val="00FE6865"/>
    <w:rsid w:val="00FE6993"/>
    <w:rsid w:val="00FF6200"/>
    <w:rsid w:val="0BEF2A2A"/>
    <w:rsid w:val="0FAB514F"/>
    <w:rsid w:val="1EF1576B"/>
    <w:rsid w:val="200F3952"/>
    <w:rsid w:val="3ADA3A6B"/>
    <w:rsid w:val="40932121"/>
    <w:rsid w:val="45151D23"/>
    <w:rsid w:val="5A143B20"/>
    <w:rsid w:val="61AC2EEE"/>
    <w:rsid w:val="67414AFB"/>
    <w:rsid w:val="6C75632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直接箭头连接符 21"/>
        <o:r id="V:Rule2" type="connector" idref="#直接箭头连接符 17"/>
        <o:r id="V:Rule3" type="connector" idref="#直接箭头连接符 16"/>
        <o:r id="V:Rule4" type="connector" idref="#直接箭头连接符 18"/>
        <o:r id="V:Rule5" type="connector" idref="#直接箭头连接符 19"/>
        <o:r id="V:Rule6" type="connector" idref="#直接箭头连接符 9"/>
        <o:r id="V:Rule7" type="connector" idref="#直接箭头连接符 11"/>
        <o:r id="V:Rule8" type="connector" idref="#直接箭头连接符 5"/>
        <o:r id="V:Rule9" type="connector" idref="#直接箭头连接符 6"/>
        <o:r id="V:Rule10" type="connector" idref="#直接箭头连接符 3"/>
        <o:r id="V:Rule11" type="connector" idref="#直接箭头连接符 4"/>
        <o:r id="V:Rule12" type="connector" idref="#直接箭头连接符 1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4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9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unhideWhenUsed/>
    <w:qFormat/>
    <w:uiPriority w:val="99"/>
    <w:pPr>
      <w:ind w:left="1360"/>
    </w:pPr>
    <w:rPr>
      <w:sz w:val="30"/>
      <w:szCs w:val="30"/>
    </w:rPr>
  </w:style>
  <w:style w:type="paragraph" w:styleId="8">
    <w:name w:val="Balloon Text"/>
    <w:basedOn w:val="1"/>
    <w:link w:val="3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4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8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qFormat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qFormat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5"/>
    <w:qFormat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Intense Emphasis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407</Words>
  <Characters>2322</Characters>
  <Lines>19</Lines>
  <Paragraphs>5</Paragraphs>
  <ScaleCrop>false</ScaleCrop>
  <LinksUpToDate>false</LinksUpToDate>
  <CharactersWithSpaces>0</CharactersWithSpaces>
  <Application>WPS Office_10.1.0.6081_F1E327BC-269C-435d-A152-05C5408002CA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卫晓锋</cp:lastModifiedBy>
  <cp:lastPrinted>2020-09-08T02:25:00Z</cp:lastPrinted>
  <dcterms:modified xsi:type="dcterms:W3CDTF">2021-02-25T03:44:58Z</dcterms:modified>
  <dc:title>编号：57017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2052-10.1.0.6081</vt:lpwstr>
  </property>
</Properties>
</file>