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left"/>
        <w:rPr>
          <w:rFonts w:ascii="Times New Roman" w:hAnsi="Times New Roman" w:eastAsia="黑体"/>
          <w:sz w:val="48"/>
          <w:szCs w:val="48"/>
        </w:rPr>
      </w:pPr>
      <w:r>
        <w:rPr>
          <w:rFonts w:hint="eastAsia" w:ascii="Times New Roman" w:hAnsi="Times New Roman" w:eastAsia="黑体"/>
          <w:sz w:val="48"/>
          <w:szCs w:val="48"/>
        </w:rPr>
        <w:t>编号：</w:t>
      </w:r>
      <w:r>
        <w:rPr>
          <w:rFonts w:ascii="Times New Roman" w:hAnsi="Times New Roman" w:eastAsia="黑体"/>
          <w:sz w:val="48"/>
          <w:szCs w:val="48"/>
        </w:rPr>
        <w:t xml:space="preserve">57017 </w:t>
      </w:r>
      <w:r>
        <w:rPr>
          <w:rFonts w:hint="eastAsia" w:ascii="Times New Roman" w:hAnsi="Times New Roman" w:eastAsia="黑体"/>
          <w:sz w:val="48"/>
          <w:szCs w:val="48"/>
          <w:lang w:val="en-US" w:eastAsia="zh-CN"/>
        </w:rPr>
        <w:t xml:space="preserve">  </w:t>
      </w:r>
      <w:r>
        <w:rPr>
          <w:rFonts w:ascii="Times New Roman" w:hAnsi="Times New Roman" w:eastAsia="黑体"/>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pt;width:86.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52"/>
          <w:szCs w:val="52"/>
        </w:rPr>
      </w:pPr>
    </w:p>
    <w:p>
      <w:pPr>
        <w:ind w:right="300"/>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外汇账户（含边贸人民币结算专用账户）的开立、变更、关闭、撤销以及账户允许保留限额核准</w:t>
      </w:r>
      <w:r>
        <w:rPr>
          <w:rFonts w:ascii="Times New Roman" w:hAnsi="Times New Roman" w:eastAsia="黑体"/>
          <w:sz w:val="52"/>
          <w:szCs w:val="52"/>
        </w:rPr>
        <w:t>”</w:t>
      </w:r>
      <w:r>
        <w:rPr>
          <w:rFonts w:hint="eastAsia" w:ascii="Times New Roman" w:hAnsi="Times New Roman" w:eastAsia="黑体"/>
          <w:sz w:val="52"/>
          <w:szCs w:val="52"/>
        </w:rPr>
        <w:t>行政审批服务指南</w: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发布日期：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实施日期：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jc w:val="center"/>
        <w:rPr>
          <w:rFonts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发布机构：国家外汇管理局甘肃省分局</w:t>
      </w:r>
    </w:p>
    <w:p>
      <w:pPr>
        <w:ind w:right="300"/>
        <w:rPr>
          <w:rFonts w:ascii="Times New Roman" w:hAnsi="Times New Roman" w:eastAsia="仿宋_GB2312"/>
          <w:sz w:val="30"/>
          <w:szCs w:val="30"/>
        </w:rPr>
      </w:pPr>
    </w:p>
    <w:p>
      <w:pPr>
        <w:ind w:right="300"/>
        <w:rPr>
          <w:rFonts w:ascii="Times New Roman" w:hAnsi="Times New Roman" w:eastAsia="仿宋_GB2312"/>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ind w:firstLine="31680" w:firstLineChars="200"/>
        <w:jc w:val="left"/>
        <w:rPr>
          <w:rFonts w:ascii="Times New Roman" w:hAnsi="Times New Roman" w:eastAsia="黑体"/>
          <w:sz w:val="30"/>
          <w:szCs w:val="30"/>
        </w:rPr>
      </w:pPr>
      <w:r>
        <w:rPr>
          <w:rFonts w:hint="eastAsia" w:ascii="Times New Roman" w:hAnsi="Times New Roman" w:eastAsia="黑体"/>
          <w:sz w:val="30"/>
          <w:szCs w:val="30"/>
        </w:rPr>
        <w:t>一、项目信息</w:t>
      </w:r>
    </w:p>
    <w:p>
      <w:pPr>
        <w:adjustRightInd w:val="0"/>
        <w:snapToGri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项目名称：</w:t>
      </w:r>
      <w:bookmarkStart w:id="0" w:name="_Hlk421820588"/>
      <w:r>
        <w:rPr>
          <w:rFonts w:hint="eastAsia" w:ascii="Times New Roman" w:hAnsi="Times New Roman" w:eastAsia="仿宋_GB2312"/>
          <w:sz w:val="30"/>
          <w:szCs w:val="30"/>
        </w:rPr>
        <w:t>外汇账户的开立、变更、关闭、撤销以及账户允许保留限额核准</w:t>
      </w:r>
      <w:bookmarkEnd w:id="0"/>
      <w:r>
        <w:rPr>
          <w:rFonts w:hint="eastAsia" w:ascii="Times New Roman" w:hAnsi="Times New Roman" w:eastAsia="仿宋_GB2312"/>
          <w:sz w:val="30"/>
          <w:szCs w:val="30"/>
        </w:rPr>
        <w:t>；</w:t>
      </w:r>
    </w:p>
    <w:p>
      <w:pPr>
        <w:adjustRightInd w:val="0"/>
        <w:snapToGri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项目编号：</w:t>
      </w:r>
      <w:r>
        <w:rPr>
          <w:rFonts w:ascii="Times New Roman" w:hAnsi="Times New Roman" w:eastAsia="仿宋_GB2312"/>
          <w:sz w:val="30"/>
          <w:szCs w:val="30"/>
        </w:rPr>
        <w:t>57017</w:t>
      </w:r>
      <w:r>
        <w:rPr>
          <w:rFonts w:hint="eastAsia" w:ascii="Times New Roman" w:hAnsi="Times New Roman" w:eastAsia="仿宋_GB2312"/>
          <w:sz w:val="30"/>
          <w:szCs w:val="30"/>
        </w:rPr>
        <w:t>；</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审批类别：行政许可。</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二、适用范围</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本指南适用于</w:t>
      </w:r>
      <w:r>
        <w:rPr>
          <w:rFonts w:ascii="Times New Roman" w:hAnsi="Times New Roman" w:eastAsia="仿宋_GB2312"/>
          <w:sz w:val="30"/>
          <w:szCs w:val="30"/>
        </w:rPr>
        <w:t>“</w:t>
      </w:r>
      <w:r>
        <w:rPr>
          <w:rFonts w:hint="eastAsia" w:ascii="Times New Roman" w:hAnsi="Times New Roman" w:eastAsia="仿宋_GB2312"/>
          <w:sz w:val="30"/>
          <w:szCs w:val="30"/>
        </w:rPr>
        <w:t>外汇账户的开立、变更、关闭、撤销以及账户允许保留限额核准</w:t>
      </w:r>
      <w:r>
        <w:rPr>
          <w:rFonts w:ascii="Times New Roman" w:hAnsi="Times New Roman" w:eastAsia="仿宋_GB2312"/>
          <w:sz w:val="30"/>
          <w:szCs w:val="30"/>
        </w:rPr>
        <w:t>”</w:t>
      </w:r>
      <w:r>
        <w:rPr>
          <w:rFonts w:hint="eastAsia" w:ascii="Times New Roman" w:hAnsi="Times New Roman" w:eastAsia="仿宋_GB2312"/>
          <w:sz w:val="30"/>
          <w:szCs w:val="30"/>
        </w:rPr>
        <w:t>的申请和办理。</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三、设定依据</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《国务院对确需保留的行政审批项目设定行政许可的决定》（国务院令第</w:t>
      </w:r>
      <w:r>
        <w:rPr>
          <w:rFonts w:ascii="Times New Roman" w:hAnsi="Times New Roman" w:eastAsia="仿宋_GB2312"/>
          <w:sz w:val="30"/>
          <w:szCs w:val="30"/>
        </w:rPr>
        <w:t>412</w:t>
      </w:r>
      <w:r>
        <w:rPr>
          <w:rFonts w:hint="eastAsia" w:ascii="Times New Roman" w:hAnsi="Times New Roman" w:eastAsia="仿宋_GB2312"/>
          <w:sz w:val="30"/>
          <w:szCs w:val="30"/>
        </w:rPr>
        <w:t>号）附件第</w:t>
      </w:r>
      <w:r>
        <w:rPr>
          <w:rFonts w:ascii="Times New Roman" w:hAnsi="Times New Roman" w:eastAsia="仿宋_GB2312"/>
          <w:sz w:val="30"/>
          <w:szCs w:val="30"/>
        </w:rPr>
        <w:t>493</w:t>
      </w:r>
      <w:r>
        <w:rPr>
          <w:rFonts w:hint="eastAsia" w:ascii="Times New Roman" w:hAnsi="Times New Roman" w:eastAsia="仿宋_GB2312"/>
          <w:sz w:val="30"/>
          <w:szCs w:val="30"/>
        </w:rPr>
        <w:t>项</w:t>
      </w:r>
      <w:r>
        <w:rPr>
          <w:rFonts w:ascii="Times New Roman" w:hAnsi="Times New Roman" w:eastAsia="仿宋_GB2312"/>
          <w:sz w:val="30"/>
          <w:szCs w:val="30"/>
        </w:rPr>
        <w:t>“</w:t>
      </w:r>
      <w:r>
        <w:rPr>
          <w:rFonts w:hint="eastAsia" w:ascii="Times New Roman" w:hAnsi="Times New Roman" w:eastAsia="仿宋_GB2312"/>
          <w:sz w:val="30"/>
          <w:szCs w:val="30"/>
        </w:rPr>
        <w:t>外汇账户（含边贸人民币结算专用账户）的开立、变更、关闭、撤销以及账户允许保留限额核准。</w:t>
      </w:r>
    </w:p>
    <w:p>
      <w:pPr>
        <w:adjustRightInd w:val="0"/>
        <w:snapToGrid w:val="0"/>
        <w:spacing w:line="360" w:lineRule="auto"/>
        <w:ind w:firstLine="31680" w:firstLineChars="200"/>
        <w:jc w:val="left"/>
        <w:rPr>
          <w:rFonts w:ascii="Times New Roman" w:hAnsi="Times New Roman" w:eastAsia="黑体"/>
          <w:sz w:val="30"/>
          <w:szCs w:val="30"/>
        </w:rPr>
      </w:pPr>
      <w:r>
        <w:rPr>
          <w:rFonts w:hint="eastAsia" w:ascii="Times New Roman" w:hAnsi="Times New Roman" w:eastAsia="黑体"/>
          <w:sz w:val="30"/>
          <w:szCs w:val="30"/>
        </w:rPr>
        <w:t>四、</w:t>
      </w:r>
      <w:bookmarkStart w:id="1" w:name="_GoBack"/>
      <w:r>
        <w:rPr>
          <w:rFonts w:hint="eastAsia" w:ascii="Times New Roman" w:hAnsi="Times New Roman" w:eastAsia="黑体"/>
          <w:sz w:val="30"/>
          <w:szCs w:val="30"/>
        </w:rPr>
        <w:t>服务贸易外汇收入存放境外外汇账户审批</w:t>
      </w:r>
      <w:bookmarkEnd w:id="1"/>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（一）办理依据</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《中华人民共和国外汇管理条例》（国务院令第</w:t>
      </w:r>
      <w:r>
        <w:rPr>
          <w:rFonts w:ascii="Times New Roman" w:hAnsi="Times New Roman" w:eastAsia="仿宋_GB2312"/>
          <w:sz w:val="30"/>
          <w:szCs w:val="30"/>
        </w:rPr>
        <w:t>532</w:t>
      </w:r>
      <w:r>
        <w:rPr>
          <w:rFonts w:hint="eastAsia" w:ascii="Times New Roman" w:hAnsi="Times New Roman" w:eastAsia="仿宋_GB2312"/>
          <w:sz w:val="30"/>
          <w:szCs w:val="30"/>
        </w:rPr>
        <w:t>号）；</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bCs/>
          <w:sz w:val="30"/>
          <w:szCs w:val="30"/>
        </w:rPr>
        <w:t>《国家外汇管理局关于印发〈经常项目外汇业务指引（</w:t>
      </w:r>
      <w:r>
        <w:rPr>
          <w:rFonts w:ascii="Times New Roman" w:hAnsi="Times New Roman" w:eastAsia="仿宋_GB2312"/>
          <w:bCs/>
          <w:sz w:val="30"/>
          <w:szCs w:val="30"/>
        </w:rPr>
        <w:t>2020</w:t>
      </w:r>
      <w:r>
        <w:rPr>
          <w:rFonts w:hint="eastAsia" w:ascii="Times New Roman" w:hAnsi="Times New Roman" w:eastAsia="仿宋_GB2312"/>
          <w:bCs/>
          <w:sz w:val="30"/>
          <w:szCs w:val="30"/>
        </w:rPr>
        <w:t>年版）〉的通知》（汇发〔</w:t>
      </w:r>
      <w:r>
        <w:rPr>
          <w:rFonts w:ascii="Times New Roman" w:hAnsi="Times New Roman" w:eastAsia="仿宋_GB2312"/>
          <w:bCs/>
          <w:sz w:val="30"/>
          <w:szCs w:val="30"/>
        </w:rPr>
        <w:t>2020</w:t>
      </w:r>
      <w:r>
        <w:rPr>
          <w:rFonts w:hint="eastAsia" w:ascii="Times New Roman" w:hAnsi="Times New Roman" w:eastAsia="仿宋_GB2312"/>
          <w:bCs/>
          <w:sz w:val="30"/>
          <w:szCs w:val="30"/>
        </w:rPr>
        <w:t>〕</w:t>
      </w:r>
      <w:r>
        <w:rPr>
          <w:rFonts w:ascii="Times New Roman" w:hAnsi="Times New Roman" w:eastAsia="仿宋_GB2312"/>
          <w:bCs/>
          <w:sz w:val="30"/>
          <w:szCs w:val="30"/>
        </w:rPr>
        <w:t>14</w:t>
      </w:r>
      <w:r>
        <w:rPr>
          <w:rFonts w:hint="eastAsia" w:ascii="Times New Roman" w:hAnsi="Times New Roman" w:eastAsia="仿宋_GB2312"/>
          <w:bCs/>
          <w:sz w:val="30"/>
          <w:szCs w:val="30"/>
        </w:rPr>
        <w:t>号）。</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（二）受理机构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（三）决定机构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（四）审批数量</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无数量限制。</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（五）办事条件</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申请人为境内机构，需同时符合以下条件：</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服务贸易外汇收入来源真实合法，且在境外有符合相关规定的支付需求；</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近两年无违反外汇管理规定行为。</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禁止性要求：申请材料不齐全，不符合法规规定。</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（六）申请材料</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服务贸易外汇收入存放境外外汇账户开立申请材料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57"/>
        <w:gridCol w:w="2061"/>
        <w:gridCol w:w="1134"/>
        <w:gridCol w:w="1134"/>
        <w:gridCol w:w="851"/>
        <w:gridCol w:w="1701"/>
        <w:gridCol w:w="1275"/>
      </w:tblGrid>
      <w:tr>
        <w:tc>
          <w:tcPr>
            <w:tcW w:w="457"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206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复印件</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85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电子</w:t>
            </w:r>
          </w:p>
        </w:tc>
        <w:tc>
          <w:tcPr>
            <w:tcW w:w="170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1275"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c>
          <w:tcPr>
            <w:tcW w:w="45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206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申请书</w:t>
            </w:r>
          </w:p>
        </w:tc>
        <w:tc>
          <w:tcPr>
            <w:tcW w:w="11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11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纸质</w:t>
            </w:r>
            <w:r>
              <w:rPr>
                <w:rFonts w:ascii="Times New Roman" w:hAnsi="Times New Roman" w:eastAsia="仿宋_GB2312"/>
                <w:sz w:val="24"/>
                <w:szCs w:val="24"/>
              </w:rPr>
              <w:t>/</w:t>
            </w:r>
            <w:r>
              <w:rPr>
                <w:rFonts w:hint="eastAsia" w:ascii="Times New Roman" w:hAnsi="Times New Roman" w:eastAsia="仿宋_GB2312"/>
                <w:sz w:val="24"/>
                <w:szCs w:val="24"/>
              </w:rPr>
              <w:t>电子</w:t>
            </w:r>
          </w:p>
        </w:tc>
        <w:tc>
          <w:tcPr>
            <w:tcW w:w="1701" w:type="dxa"/>
            <w:vAlign w:val="top"/>
          </w:tcPr>
          <w:p>
            <w:pPr>
              <w:rPr>
                <w:rFonts w:ascii="Times New Roman" w:hAnsi="Times New Roman" w:eastAsia="仿宋_GB2312"/>
                <w:sz w:val="24"/>
                <w:szCs w:val="24"/>
              </w:rPr>
            </w:pPr>
            <w:r>
              <w:rPr>
                <w:rFonts w:hint="eastAsia" w:ascii="Times New Roman" w:hAnsi="Times New Roman" w:eastAsia="仿宋_GB2312"/>
                <w:sz w:val="24"/>
                <w:szCs w:val="24"/>
              </w:rPr>
              <w:t>包括但不限于基本情况、服务贸易开展情况、拟开户银行、使用期限、根据实际需要申请的存放境外资金规模等</w:t>
            </w:r>
          </w:p>
        </w:tc>
        <w:tc>
          <w:tcPr>
            <w:tcW w:w="1275" w:type="dxa"/>
            <w:vAlign w:val="top"/>
          </w:tcPr>
          <w:p>
            <w:pPr>
              <w:rPr>
                <w:rFonts w:ascii="Times New Roman" w:hAnsi="Times New Roman" w:eastAsia="仿宋_GB2312"/>
                <w:sz w:val="24"/>
                <w:szCs w:val="24"/>
              </w:rPr>
            </w:pPr>
            <w:r>
              <w:rPr>
                <w:rFonts w:hint="eastAsia" w:ascii="Times New Roman" w:hAnsi="Times New Roman" w:eastAsia="仿宋_GB2312"/>
                <w:sz w:val="24"/>
                <w:szCs w:val="24"/>
              </w:rPr>
              <w:t>法定代表人或其授权人签字并加盖企业公章</w:t>
            </w:r>
          </w:p>
        </w:tc>
      </w:tr>
    </w:tbl>
    <w:p>
      <w:pPr>
        <w:adjustRightInd w:val="0"/>
        <w:snapToGrid w:val="0"/>
        <w:spacing w:beforeLines="50"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 xml:space="preserve">2. </w:t>
      </w:r>
      <w:r>
        <w:rPr>
          <w:rFonts w:hint="eastAsia" w:ascii="Times New Roman" w:hAnsi="Times New Roman" w:eastAsia="仿宋_GB2312"/>
          <w:sz w:val="30"/>
          <w:szCs w:val="30"/>
        </w:rPr>
        <w:t>服务贸易外汇收入存放境外外汇账户变更申请材料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57"/>
        <w:gridCol w:w="2061"/>
        <w:gridCol w:w="1134"/>
        <w:gridCol w:w="1134"/>
        <w:gridCol w:w="851"/>
        <w:gridCol w:w="1701"/>
        <w:gridCol w:w="1275"/>
      </w:tblGrid>
      <w:tr>
        <w:tc>
          <w:tcPr>
            <w:tcW w:w="457"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206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复印件</w:t>
            </w:r>
          </w:p>
        </w:tc>
        <w:tc>
          <w:tcPr>
            <w:tcW w:w="1134"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85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p>
          <w:p>
            <w:pPr>
              <w:jc w:val="center"/>
              <w:rPr>
                <w:rFonts w:ascii="Times New Roman" w:hAnsi="Times New Roman" w:eastAsia="仿宋_GB2312"/>
                <w:b/>
                <w:sz w:val="24"/>
                <w:szCs w:val="24"/>
              </w:rPr>
            </w:pPr>
            <w:r>
              <w:rPr>
                <w:rFonts w:hint="eastAsia" w:ascii="Times New Roman" w:hAnsi="Times New Roman" w:eastAsia="仿宋_GB2312"/>
                <w:b/>
                <w:sz w:val="24"/>
                <w:szCs w:val="24"/>
              </w:rPr>
              <w:t>电子</w:t>
            </w:r>
          </w:p>
        </w:tc>
        <w:tc>
          <w:tcPr>
            <w:tcW w:w="1701"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1275" w:type="dxa"/>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c>
          <w:tcPr>
            <w:tcW w:w="45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206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申请书</w:t>
            </w:r>
          </w:p>
        </w:tc>
        <w:tc>
          <w:tcPr>
            <w:tcW w:w="11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11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纸质</w:t>
            </w:r>
            <w:r>
              <w:rPr>
                <w:rFonts w:ascii="Times New Roman" w:hAnsi="Times New Roman" w:eastAsia="仿宋_GB2312"/>
                <w:sz w:val="24"/>
                <w:szCs w:val="24"/>
              </w:rPr>
              <w:t>/</w:t>
            </w:r>
            <w:r>
              <w:rPr>
                <w:rFonts w:hint="eastAsia" w:ascii="Times New Roman" w:hAnsi="Times New Roman" w:eastAsia="仿宋_GB2312"/>
                <w:sz w:val="24"/>
                <w:szCs w:val="24"/>
              </w:rPr>
              <w:t>电子</w:t>
            </w:r>
          </w:p>
        </w:tc>
        <w:tc>
          <w:tcPr>
            <w:tcW w:w="1701" w:type="dxa"/>
            <w:vAlign w:val="top"/>
          </w:tcPr>
          <w:p>
            <w:pPr>
              <w:rPr>
                <w:rFonts w:ascii="Times New Roman" w:hAnsi="Times New Roman" w:eastAsia="仿宋_GB2312"/>
                <w:sz w:val="24"/>
                <w:szCs w:val="24"/>
              </w:rPr>
            </w:pPr>
            <w:r>
              <w:rPr>
                <w:rFonts w:hint="eastAsia" w:ascii="Times New Roman" w:hAnsi="Times New Roman" w:eastAsia="仿宋_GB2312"/>
                <w:sz w:val="24"/>
                <w:szCs w:val="24"/>
              </w:rPr>
              <w:t>列明变更事项（开户银行、收支范围、使用期限、需提高存放境外资金规模或境内企业集团调整参与成员公司）</w:t>
            </w:r>
          </w:p>
        </w:tc>
        <w:tc>
          <w:tcPr>
            <w:tcW w:w="1275" w:type="dxa"/>
            <w:vAlign w:val="top"/>
          </w:tcPr>
          <w:p>
            <w:pPr>
              <w:rPr>
                <w:rFonts w:ascii="Times New Roman" w:hAnsi="Times New Roman" w:eastAsia="仿宋_GB2312"/>
                <w:sz w:val="24"/>
                <w:szCs w:val="24"/>
              </w:rPr>
            </w:pPr>
            <w:r>
              <w:rPr>
                <w:rFonts w:hint="eastAsia" w:ascii="Times New Roman" w:hAnsi="Times New Roman" w:eastAsia="仿宋_GB2312"/>
                <w:sz w:val="24"/>
                <w:szCs w:val="24"/>
              </w:rPr>
              <w:t>法定代表人或其授权人签字并加盖企业公章，境内企业集团应由主办企业申请变更登记</w:t>
            </w:r>
          </w:p>
        </w:tc>
      </w:tr>
    </w:tbl>
    <w:p>
      <w:pPr>
        <w:adjustRightInd w:val="0"/>
        <w:snapToGrid w:val="0"/>
        <w:spacing w:line="360" w:lineRule="auto"/>
        <w:rPr>
          <w:rFonts w:ascii="Times New Roman" w:hAnsi="Times New Roman" w:eastAsia="黑体"/>
          <w:sz w:val="30"/>
          <w:szCs w:val="30"/>
        </w:rPr>
      </w:pP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（七）申请接受</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Times New Roman" w:hAnsi="Times New Roman" w:eastAsia="仿宋_GB2312"/>
          <w:sz w:val="30"/>
          <w:szCs w:val="30"/>
        </w:rPr>
        <w:t>申请人可通过</w:t>
      </w: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窗口提交材料。</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（八）基本办理流程</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申请人提交申请；</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决定是否予以受理；</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不予受理的，出具不予受理通知书；受理的，出具受理通知书，审核作出核准或者不予核准的决定；</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对于符合规定条件，向申请人出具核准文件；不予核准的，做出不予核准的行政许可书面决定并说明理由；</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rPr>
        <w:t>材料不全或不符合法定形式的，一次性告知补正材料，并出具《行政许可补正通知书》；</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（九）办理方式</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仿宋_GB2312"/>
          <w:sz w:val="30"/>
          <w:szCs w:val="30"/>
        </w:rPr>
        <w:t>一般程序：申请、受理、审查、决定、出具核准文件或不予核准的行政许可书面决定。</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（十）审批时限</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20</w:t>
      </w:r>
      <w:r>
        <w:rPr>
          <w:rFonts w:hint="eastAsia" w:ascii="Times New Roman" w:hAnsi="Times New Roman" w:eastAsia="仿宋_GB2312"/>
          <w:sz w:val="30"/>
          <w:szCs w:val="30"/>
        </w:rPr>
        <w:t>个工作日。</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（十一）审批收费依据及标准</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不收费。</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（十二）审批结果</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核准文件。</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（十三）结果送达</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（十四）申请人权利和义务</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黑体"/>
          <w:sz w:val="30"/>
          <w:szCs w:val="30"/>
        </w:rPr>
        <w:t>（十五）咨询途径、监督和投诉、公开查询等由所在地分支局办理</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Fonts w:ascii="Times New Roman" w:hAnsi="Times New Roman" w:eastAsia="仿宋_GB2312"/>
          <w:sz w:val="30"/>
          <w:szCs w:val="30"/>
        </w:rPr>
        <w:t>www.safe.gov.cn</w:t>
      </w:r>
      <w:r>
        <w:rPr>
          <w:rStyle w:val="15"/>
          <w:rFonts w:ascii="Times New Roman" w:hAnsi="Times New Roman" w:eastAsia="仿宋_GB2312"/>
          <w:color w:val="auto"/>
          <w:sz w:val="30"/>
          <w:szCs w:val="30"/>
        </w:rPr>
        <w:t>/gansu/ywzn/index.html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（十六）事项审查类型</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前审后批。</w:t>
      </w:r>
    </w:p>
    <w:p>
      <w:pPr>
        <w:adjustRightInd w:val="0"/>
        <w:snapToGrid w:val="0"/>
        <w:spacing w:line="360" w:lineRule="auto"/>
        <w:ind w:firstLine="31680" w:firstLineChars="200"/>
        <w:rPr>
          <w:rFonts w:ascii="Times New Roman" w:hAnsi="Times New Roman" w:eastAsia="黑体"/>
          <w:sz w:val="30"/>
          <w:szCs w:val="30"/>
        </w:rPr>
      </w:pPr>
      <w:r>
        <w:rPr>
          <w:rFonts w:hint="eastAsia" w:ascii="Times New Roman" w:hAnsi="Times New Roman" w:eastAsia="黑体"/>
          <w:sz w:val="30"/>
          <w:szCs w:val="30"/>
        </w:rPr>
        <w:t>（十七）办公地址和时间</w:t>
      </w:r>
    </w:p>
    <w:p>
      <w:pPr>
        <w:adjustRightInd w:val="0"/>
        <w:snapToGrid w:val="0"/>
        <w:spacing w:line="360" w:lineRule="auto"/>
        <w:ind w:firstLine="31680" w:firstLineChars="45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66"/>
        <w:gridCol w:w="6119"/>
      </w:tblGrid>
      <w:tr>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0931-8800628</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adjustRightInd w:val="0"/>
        <w:snapToGrid w:val="0"/>
        <w:spacing w:line="360" w:lineRule="auto"/>
        <w:ind w:firstLine="31680" w:firstLineChars="200"/>
        <w:rPr>
          <w:rFonts w:ascii="Times New Roman" w:hAnsi="Times New Roman" w:eastAsia="仿宋_GB2312"/>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widowControl/>
        <w:jc w:val="left"/>
        <w:rPr>
          <w:rFonts w:ascii="Times New Roman" w:hAnsi="Times New Roman" w:eastAsia="黑体"/>
          <w:sz w:val="30"/>
          <w:szCs w:val="30"/>
        </w:rPr>
      </w:pPr>
    </w:p>
    <w:p>
      <w:pPr>
        <w:adjustRightInd w:val="0"/>
        <w:snapToGrid w:val="0"/>
        <w:spacing w:line="360" w:lineRule="auto"/>
        <w:ind w:firstLine="600"/>
        <w:rPr>
          <w:rFonts w:ascii="Times New Roman" w:hAnsi="Times New Roman" w:eastAsia="黑体"/>
          <w:sz w:val="30"/>
          <w:szCs w:val="30"/>
        </w:rPr>
      </w:pPr>
    </w:p>
    <w:p>
      <w:pPr>
        <w:adjustRightInd w:val="0"/>
        <w:snapToGrid w:val="0"/>
        <w:spacing w:line="360" w:lineRule="auto"/>
        <w:ind w:firstLine="600"/>
        <w:rPr>
          <w:rFonts w:ascii="Times New Roman" w:hAnsi="Times New Roman" w:eastAsia="黑体"/>
          <w:sz w:val="30"/>
          <w:szCs w:val="30"/>
        </w:rPr>
      </w:pPr>
    </w:p>
    <w:p>
      <w:pPr>
        <w:adjustRightInd w:val="0"/>
        <w:snapToGrid w:val="0"/>
        <w:spacing w:line="360" w:lineRule="auto"/>
        <w:ind w:firstLine="600"/>
        <w:rPr>
          <w:rFonts w:ascii="Times New Roman" w:hAnsi="Times New Roman" w:eastAsia="黑体"/>
          <w:sz w:val="30"/>
          <w:szCs w:val="30"/>
        </w:rPr>
      </w:pPr>
    </w:p>
    <w:p>
      <w:pPr>
        <w:adjustRightInd w:val="0"/>
        <w:snapToGrid w:val="0"/>
        <w:spacing w:line="360" w:lineRule="auto"/>
        <w:ind w:firstLine="600"/>
        <w:rPr>
          <w:rFonts w:ascii="Times New Roman" w:hAnsi="Times New Roman" w:eastAsia="黑体"/>
          <w:sz w:val="30"/>
          <w:szCs w:val="30"/>
        </w:rPr>
      </w:pP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（十八）申请材料示范文本</w:t>
      </w:r>
    </w:p>
    <w:p>
      <w:pPr>
        <w:adjustRightInd w:val="0"/>
        <w:snapToGrid w:val="0"/>
        <w:spacing w:line="360" w:lineRule="auto"/>
        <w:ind w:firstLine="600"/>
        <w:rPr>
          <w:rFonts w:ascii="Times New Roman" w:hAnsi="Times New Roman" w:eastAsia="黑体"/>
          <w:sz w:val="30"/>
          <w:szCs w:val="30"/>
        </w:rPr>
      </w:pPr>
    </w:p>
    <w:p>
      <w:pPr>
        <w:adjustRightInd w:val="0"/>
        <w:snapToGrid w:val="0"/>
        <w:spacing w:line="360" w:lineRule="auto"/>
        <w:jc w:val="center"/>
        <w:outlineLvl w:val="0"/>
        <w:rPr>
          <w:rFonts w:ascii="Times New Roman" w:hAnsi="Times New Roman" w:eastAsia="黑体"/>
          <w:sz w:val="30"/>
          <w:szCs w:val="30"/>
        </w:rPr>
      </w:pPr>
      <w:r>
        <w:rPr>
          <w:rFonts w:hint="eastAsia" w:ascii="Times New Roman" w:hAnsi="Times New Roman" w:eastAsia="黑体"/>
          <w:sz w:val="30"/>
          <w:szCs w:val="30"/>
        </w:rPr>
        <w:t>关于开立服务贸易外汇收入存放境外外汇账户的申请</w:t>
      </w:r>
    </w:p>
    <w:p>
      <w:pPr>
        <w:adjustRightInd w:val="0"/>
        <w:snapToGrid w:val="0"/>
        <w:spacing w:line="360" w:lineRule="auto"/>
        <w:jc w:val="center"/>
        <w:rPr>
          <w:rFonts w:ascii="Times New Roman" w:hAnsi="Times New Roman" w:eastAsia="黑体"/>
          <w:sz w:val="30"/>
          <w:szCs w:val="30"/>
        </w:rPr>
      </w:pPr>
    </w:p>
    <w:p>
      <w:pPr>
        <w:adjustRightInd w:val="0"/>
        <w:snapToGrid w:val="0"/>
        <w:spacing w:line="360" w:lineRule="auto"/>
        <w:jc w:val="left"/>
        <w:rPr>
          <w:rFonts w:ascii="Times New Roman" w:hAnsi="Times New Roman" w:eastAsia="仿宋_GB2312"/>
          <w:sz w:val="30"/>
          <w:szCs w:val="30"/>
        </w:rPr>
      </w:pPr>
      <w:r>
        <w:rPr>
          <w:rFonts w:hint="eastAsia" w:ascii="Times New Roman" w:hAnsi="Times New Roman" w:eastAsia="仿宋_GB2312"/>
          <w:sz w:val="30"/>
          <w:szCs w:val="30"/>
        </w:rPr>
        <w:t>国家外汇管理局</w:t>
      </w:r>
      <w:r>
        <w:rPr>
          <w:rFonts w:ascii="Times New Roman" w:hAnsi="Times New Roman" w:eastAsia="仿宋_GB2312"/>
          <w:sz w:val="30"/>
          <w:szCs w:val="30"/>
        </w:rPr>
        <w:t>XX</w:t>
      </w:r>
      <w:r>
        <w:rPr>
          <w:rFonts w:hint="eastAsia" w:ascii="Times New Roman" w:hAnsi="Times New Roman" w:eastAsia="仿宋_GB2312"/>
          <w:sz w:val="30"/>
          <w:szCs w:val="30"/>
        </w:rPr>
        <w:t>分局：</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我公司成立于</w:t>
      </w:r>
      <w:r>
        <w:rPr>
          <w:rFonts w:ascii="Times New Roman" w:hAnsi="Times New Roman" w:eastAsia="仿宋_GB2312"/>
          <w:sz w:val="30"/>
          <w:szCs w:val="30"/>
        </w:rPr>
        <w:t>XXXX</w:t>
      </w:r>
      <w:r>
        <w:rPr>
          <w:rFonts w:hint="eastAsia" w:ascii="Times New Roman" w:hAnsi="Times New Roman" w:eastAsia="仿宋_GB2312"/>
          <w:sz w:val="30"/>
          <w:szCs w:val="30"/>
        </w:rPr>
        <w:t>年，注册资金</w:t>
      </w:r>
      <w:r>
        <w:rPr>
          <w:rFonts w:ascii="Times New Roman" w:hAnsi="Times New Roman" w:eastAsia="仿宋_GB2312"/>
          <w:sz w:val="30"/>
          <w:szCs w:val="30"/>
        </w:rPr>
        <w:t>XX</w:t>
      </w:r>
      <w:r>
        <w:rPr>
          <w:rFonts w:hint="eastAsia" w:ascii="Times New Roman" w:hAnsi="Times New Roman" w:eastAsia="仿宋_GB2312"/>
          <w:sz w:val="30"/>
          <w:szCs w:val="30"/>
        </w:rPr>
        <w:t>万元，注册地址</w:t>
      </w:r>
      <w:r>
        <w:rPr>
          <w:rFonts w:ascii="Times New Roman" w:hAnsi="Times New Roman" w:eastAsia="仿宋_GB2312"/>
          <w:sz w:val="30"/>
          <w:szCs w:val="30"/>
        </w:rPr>
        <w:t>XX</w:t>
      </w:r>
      <w:r>
        <w:rPr>
          <w:rFonts w:hint="eastAsia" w:ascii="Times New Roman" w:hAnsi="Times New Roman" w:eastAsia="仿宋_GB2312"/>
          <w:sz w:val="30"/>
          <w:szCs w:val="30"/>
        </w:rPr>
        <w:t>（公司基本情况介绍）。</w:t>
      </w:r>
      <w:r>
        <w:rPr>
          <w:rFonts w:ascii="Times New Roman" w:hAnsi="Times New Roman" w:eastAsia="仿宋_GB2312"/>
          <w:sz w:val="30"/>
          <w:szCs w:val="30"/>
        </w:rPr>
        <w:t>XXXX</w:t>
      </w:r>
      <w:r>
        <w:rPr>
          <w:rFonts w:hint="eastAsia" w:ascii="Times New Roman" w:hAnsi="Times New Roman" w:eastAsia="仿宋_GB2312"/>
          <w:sz w:val="30"/>
          <w:szCs w:val="30"/>
        </w:rPr>
        <w:t>年，我公司服务贸易外汇收入和支出金额分别为……，同比分别增长（下降）……。因</w:t>
      </w:r>
      <w:r>
        <w:rPr>
          <w:rFonts w:ascii="Times New Roman" w:hAnsi="Times New Roman" w:eastAsia="仿宋_GB2312"/>
          <w:sz w:val="30"/>
          <w:szCs w:val="30"/>
        </w:rPr>
        <w:t>XX</w:t>
      </w:r>
      <w:r>
        <w:rPr>
          <w:rFonts w:hint="eastAsia" w:ascii="Times New Roman" w:hAnsi="Times New Roman" w:eastAsia="仿宋_GB2312"/>
          <w:sz w:val="30"/>
          <w:szCs w:val="30"/>
        </w:rPr>
        <w:t>业务需要，申请在</w:t>
      </w:r>
      <w:r>
        <w:rPr>
          <w:rFonts w:ascii="Times New Roman" w:hAnsi="Times New Roman" w:eastAsia="仿宋_GB2312"/>
          <w:sz w:val="30"/>
          <w:szCs w:val="30"/>
        </w:rPr>
        <w:t>X</w:t>
      </w:r>
      <w:r>
        <w:rPr>
          <w:rFonts w:hint="eastAsia" w:ascii="Times New Roman" w:hAnsi="Times New Roman" w:eastAsia="仿宋_GB2312"/>
          <w:sz w:val="30"/>
          <w:szCs w:val="30"/>
        </w:rPr>
        <w:t>国开立服务贸易外汇收入存放境外外汇账户，详细信息如下：</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适用币种：</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开户银行：</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账户使用期限：</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存放境外资金规模：</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账户收支范围：</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（开立账户后，存放境外内部管理制度介绍）。</w:t>
      </w:r>
    </w:p>
    <w:p>
      <w:pPr>
        <w:adjustRightInd w:val="0"/>
        <w:snapToGrid w:val="0"/>
        <w:spacing w:line="360" w:lineRule="auto"/>
        <w:ind w:firstLine="31680" w:firstLineChars="200"/>
        <w:jc w:val="left"/>
        <w:rPr>
          <w:rFonts w:ascii="Times New Roman" w:hAnsi="Times New Roman" w:eastAsia="仿宋_GB2312"/>
          <w:sz w:val="30"/>
          <w:szCs w:val="30"/>
        </w:rPr>
      </w:pPr>
      <w:r>
        <w:rPr>
          <w:rFonts w:hint="eastAsia" w:ascii="Times New Roman" w:hAnsi="Times New Roman" w:eastAsia="仿宋_GB2312"/>
          <w:sz w:val="30"/>
          <w:szCs w:val="30"/>
        </w:rPr>
        <w:t>特此申请。</w:t>
      </w:r>
    </w:p>
    <w:p>
      <w:pPr>
        <w:wordWrap w:val="0"/>
        <w:adjustRightInd w:val="0"/>
        <w:snapToGrid w:val="0"/>
        <w:spacing w:line="360" w:lineRule="auto"/>
        <w:ind w:right="300" w:firstLine="31680" w:firstLineChars="200"/>
        <w:jc w:val="right"/>
        <w:outlineLvl w:val="0"/>
        <w:rPr>
          <w:rFonts w:ascii="Times New Roman" w:hAnsi="Times New Roman" w:eastAsia="仿宋_GB2312"/>
          <w:sz w:val="30"/>
          <w:szCs w:val="30"/>
        </w:rPr>
      </w:pPr>
      <w:r>
        <w:rPr>
          <w:rFonts w:ascii="Times New Roman" w:hAnsi="Times New Roman" w:eastAsia="仿宋_GB2312"/>
          <w:sz w:val="30"/>
          <w:szCs w:val="30"/>
        </w:rPr>
        <w:t xml:space="preserve">  XX</w:t>
      </w:r>
      <w:r>
        <w:rPr>
          <w:rFonts w:hint="eastAsia" w:ascii="Times New Roman" w:hAnsi="Times New Roman" w:eastAsia="仿宋_GB2312"/>
          <w:sz w:val="30"/>
          <w:szCs w:val="30"/>
        </w:rPr>
        <w:t>公司</w:t>
      </w:r>
    </w:p>
    <w:p>
      <w:pPr>
        <w:adjustRightInd w:val="0"/>
        <w:snapToGrid w:val="0"/>
        <w:spacing w:line="360" w:lineRule="auto"/>
        <w:ind w:firstLine="31680" w:firstLineChars="200"/>
        <w:jc w:val="right"/>
        <w:rPr>
          <w:rFonts w:ascii="Times New Roman" w:hAnsi="Times New Roman" w:eastAsia="仿宋_GB2312"/>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sz w:val="30"/>
          <w:szCs w:val="30"/>
        </w:rPr>
        <w:t>XXXX</w:t>
      </w:r>
      <w:r>
        <w:rPr>
          <w:rFonts w:hint="eastAsia" w:ascii="Times New Roman" w:hAnsi="Times New Roman" w:eastAsia="仿宋_GB2312"/>
          <w:sz w:val="30"/>
          <w:szCs w:val="30"/>
        </w:rPr>
        <w:t>年</w:t>
      </w:r>
      <w:r>
        <w:rPr>
          <w:rFonts w:ascii="Times New Roman" w:hAnsi="Times New Roman" w:eastAsia="仿宋_GB2312"/>
          <w:sz w:val="30"/>
          <w:szCs w:val="30"/>
        </w:rPr>
        <w:t>X</w:t>
      </w:r>
      <w:r>
        <w:rPr>
          <w:rFonts w:hint="eastAsia" w:ascii="Times New Roman" w:hAnsi="Times New Roman" w:eastAsia="仿宋_GB2312"/>
          <w:sz w:val="30"/>
          <w:szCs w:val="30"/>
        </w:rPr>
        <w:t>月</w:t>
      </w:r>
      <w:r>
        <w:rPr>
          <w:rFonts w:ascii="Times New Roman" w:hAnsi="Times New Roman" w:eastAsia="仿宋_GB2312"/>
          <w:sz w:val="30"/>
          <w:szCs w:val="30"/>
        </w:rPr>
        <w:t>X</w:t>
      </w:r>
      <w:r>
        <w:rPr>
          <w:rFonts w:hint="eastAsia" w:ascii="Times New Roman" w:hAnsi="Times New Roman" w:eastAsia="仿宋_GB2312"/>
          <w:sz w:val="30"/>
          <w:szCs w:val="30"/>
        </w:rPr>
        <w:t>日</w:t>
      </w:r>
    </w:p>
    <w:p>
      <w:pPr>
        <w:adjustRightInd w:val="0"/>
        <w:snapToGrid w:val="0"/>
        <w:spacing w:line="360" w:lineRule="auto"/>
        <w:ind w:firstLine="31680" w:firstLineChars="200"/>
        <w:outlineLvl w:val="0"/>
        <w:rPr>
          <w:rFonts w:ascii="Times New Roman" w:hAnsi="Times New Roman" w:eastAsia="黑体"/>
          <w:sz w:val="30"/>
          <w:szCs w:val="30"/>
        </w:rPr>
      </w:pPr>
      <w:r>
        <w:rPr>
          <w:rFonts w:hint="eastAsia" w:ascii="Times New Roman" w:hAnsi="Times New Roman" w:eastAsia="黑体"/>
          <w:sz w:val="30"/>
          <w:szCs w:val="30"/>
        </w:rPr>
        <w:t>（十九）常见问题解答</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 xml:space="preserve"> 1.</w:t>
      </w:r>
      <w:r>
        <w:rPr>
          <w:rFonts w:hint="eastAsia" w:ascii="Times New Roman" w:hAnsi="Times New Roman" w:eastAsia="仿宋_GB2312"/>
          <w:sz w:val="30"/>
          <w:szCs w:val="30"/>
        </w:rPr>
        <w:t>申请存放境外需要具备哪些条件？</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）服务贸易外汇收入来源真实合法，且在境外有符合相关规定的支付需求；</w:t>
      </w:r>
      <w:r>
        <w:rPr>
          <w:rFonts w:ascii="Times New Roman" w:hAnsi="Times New Roman" w:eastAsia="仿宋_GB2312"/>
          <w:sz w:val="30"/>
          <w:szCs w:val="30"/>
        </w:rPr>
        <w:t xml:space="preserve"> </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）近两年无违反外汇管理规定行为。</w:t>
      </w:r>
      <w:r>
        <w:rPr>
          <w:rFonts w:ascii="Times New Roman" w:hAnsi="Times New Roman" w:eastAsia="仿宋_GB2312"/>
          <w:sz w:val="30"/>
          <w:szCs w:val="30"/>
        </w:rPr>
        <w:t xml:space="preserve"> </w:t>
      </w:r>
    </w:p>
    <w:p>
      <w:pPr>
        <w:adjustRightInd w:val="0"/>
        <w:snapToGrid w:val="0"/>
        <w:spacing w:line="360" w:lineRule="auto"/>
        <w:ind w:firstLine="3168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受理后几个工作日能办结？</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按照法规要求，正式受理后，</w:t>
      </w:r>
      <w:r>
        <w:rPr>
          <w:rFonts w:ascii="Times New Roman" w:hAnsi="Times New Roman" w:eastAsia="仿宋_GB2312"/>
          <w:sz w:val="30"/>
          <w:szCs w:val="30"/>
        </w:rPr>
        <w:t>20</w:t>
      </w:r>
      <w:r>
        <w:rPr>
          <w:rFonts w:hint="eastAsia" w:ascii="Times New Roman" w:hAnsi="Times New Roman" w:eastAsia="仿宋_GB2312"/>
          <w:sz w:val="30"/>
          <w:szCs w:val="30"/>
        </w:rPr>
        <w:t>个工作日内可以批复。</w:t>
      </w:r>
    </w:p>
    <w:p>
      <w:pPr>
        <w:adjustRightInd w:val="0"/>
        <w:snapToGrid w:val="0"/>
        <w:spacing w:line="360" w:lineRule="auto"/>
        <w:ind w:firstLine="31680" w:firstLineChars="200"/>
        <w:outlineLvl w:val="0"/>
        <w:rPr>
          <w:rFonts w:ascii="Times New Roman" w:hAnsi="Times New Roman" w:eastAsia="黑体"/>
          <w:sz w:val="30"/>
          <w:szCs w:val="30"/>
        </w:rPr>
      </w:pPr>
      <w:r>
        <w:rPr>
          <w:rFonts w:hint="eastAsia" w:ascii="Times New Roman" w:hAnsi="Times New Roman" w:eastAsia="黑体"/>
          <w:sz w:val="30"/>
          <w:szCs w:val="30"/>
        </w:rPr>
        <w:t>（二十）常见错误示例</w:t>
      </w:r>
    </w:p>
    <w:p>
      <w:pPr>
        <w:adjustRightInd w:val="0"/>
        <w:snapToGrid w:val="0"/>
        <w:spacing w:line="360" w:lineRule="auto"/>
        <w:ind w:firstLine="31680" w:firstLineChars="200"/>
        <w:rPr>
          <w:rFonts w:ascii="Times New Roman" w:hAnsi="Times New Roman" w:eastAsia="仿宋_GB2312"/>
          <w:sz w:val="30"/>
          <w:szCs w:val="30"/>
        </w:rPr>
      </w:pPr>
      <w:r>
        <w:rPr>
          <w:rFonts w:hint="eastAsia" w:ascii="Times New Roman" w:hAnsi="Times New Roman" w:eastAsia="仿宋_GB2312"/>
          <w:sz w:val="30"/>
          <w:szCs w:val="30"/>
        </w:rPr>
        <w:t>某公司近两年因违反外汇管理规定被处罚，申请该业务。</w:t>
      </w:r>
    </w:p>
    <w:p>
      <w:pPr>
        <w:widowControl/>
        <w:jc w:val="left"/>
        <w:rPr>
          <w:rFonts w:ascii="Times New Roman" w:hAnsi="Times New Roman" w:eastAsia="仿宋_GB2312"/>
          <w:sz w:val="30"/>
          <w:szCs w:val="30"/>
        </w:rPr>
      </w:pPr>
      <w:r>
        <w:rPr>
          <w:rFonts w:ascii="Times New Roman" w:hAnsi="Times New Roman" w:eastAsia="仿宋_GB2312"/>
          <w:sz w:val="30"/>
          <w:szCs w:val="30"/>
        </w:rPr>
        <w:br w:type="page"/>
      </w:r>
      <w:r>
        <w:rPr>
          <w:rFonts w:hint="eastAsia" w:ascii="Times New Roman" w:hAnsi="Times New Roman" w:eastAsia="仿宋_GB2312"/>
          <w:sz w:val="30"/>
          <w:szCs w:val="30"/>
        </w:rPr>
        <w:t>附录</w:t>
      </w:r>
    </w:p>
    <w:p>
      <w:pPr>
        <w:ind w:right="300"/>
        <w:jc w:val="center"/>
        <w:rPr>
          <w:rFonts w:ascii="Times New Roman" w:hAnsi="Times New Roman" w:eastAsia="黑体"/>
          <w:sz w:val="30"/>
          <w:szCs w:val="30"/>
        </w:rPr>
      </w:pPr>
      <w:r>
        <w:rPr>
          <w:rFonts w:hint="eastAsia" w:ascii="Times New Roman" w:hAnsi="Times New Roman" w:eastAsia="黑体"/>
          <w:sz w:val="30"/>
          <w:szCs w:val="30"/>
        </w:rPr>
        <w:t>基本流程图</w:t>
      </w:r>
    </w:p>
    <w:p>
      <w:pPr>
        <w:adjustRightInd w:val="0"/>
        <w:snapToGrid w:val="0"/>
        <w:spacing w:line="360" w:lineRule="auto"/>
        <w:rPr>
          <w:rFonts w:ascii="Times New Roman" w:hAnsi="Times New Roman"/>
        </w:rPr>
      </w:pPr>
      <w:r>
        <w:rPr>
          <w:rFonts w:ascii="Calibri" w:hAnsi="Calibri" w:eastAsia="宋体" w:cs="Times New Roman"/>
          <w:kern w:val="2"/>
          <w:sz w:val="21"/>
          <w:szCs w:val="22"/>
          <w:lang w:val="en-US" w:eastAsia="zh-CN" w:bidi="ar-SA"/>
        </w:rPr>
        <w:pict>
          <v:group id="组合 1026" o:spid="_x0000_s1027" style="position:absolute;left:0;margin-left:-42.35pt;margin-top:35.25pt;height:473.2pt;width:472.7pt;rotation:0f;z-index:251658240;" coordorigin="825,3393" coordsize="9454,9464">
            <o:lock v:ext="edit" position="f" selection="f" grouping="f" rotation="f" cropping="f" text="f" aspectratio="f"/>
            <v:shape id="直接箭头连接符 21" o:spid="_x0000_s1028" type="#_x0000_t32" style="position:absolute;left:240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7" o:spid="_x0000_s1029" type="#_x0000_t32" style="position:absolute;left:4275;top:5918;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6"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8" o:spid="_x0000_s1031" type="#_x0000_t34" style="position:absolute;left:8573;top:5455;height:1;width:271;rotation:17694720f;" o:ole="f" fillcolor="#FFFFFF" filled="t" o:preferrelative="t" stroked="t" coordorigin="0,0" coordsize="21600,21600" adj="10760">
              <v:stroke color="#000000" color2="#FFFFFF" miterlimit="2" endarrow="block"/>
              <v:imagedata gain="65536f" blacklevel="0f" gamma="0"/>
              <o:lock v:ext="edit" position="f" selection="f" grouping="f" rotation="f" cropping="f" text="f" aspectratio="f"/>
            </v:shape>
            <v:shape id="直接箭头连接符 19" o:spid="_x0000_s1032" type="#_x0000_t32" style="position:absolute;left:2417;top:4938;flip:x y;height:72;width:485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9"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5" o:spid="_x0000_s1035" type="#_x0000_t32" style="position:absolute;left:2432;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6" o:spid="_x0000_s1036" type="#_x0000_t32" style="position:absolute;left:2432;top:8792;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2" o:spid="_x0000_s1037" type="#_x0000_t110" style="position:absolute;left:825;top:5391;height:2085;width:315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left"/>
                    </w:pPr>
                    <w:r>
                      <w:rPr>
                        <w:rFonts w:hint="eastAsia"/>
                      </w:rPr>
                      <w:t>接件并于</w:t>
                    </w:r>
                    <w:r>
                      <w:rPr>
                        <w:rFonts w:ascii="Times New Roman" w:hAnsi="Times New Roman"/>
                      </w:rPr>
                      <w:t>5</w:t>
                    </w:r>
                    <w:r>
                      <w:rPr>
                        <w:rFonts w:hint="eastAsia"/>
                      </w:rPr>
                      <w:t>个工作日作出是否受理决定</w:t>
                    </w:r>
                  </w:p>
                </w:txbxContent>
              </v:textbox>
            </v:shape>
            <v:shape id="直接箭头连接符 3" o:spid="_x0000_s1038" type="#_x0000_t32" style="position:absolute;left:4275;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4" o:spid="_x0000_s1039" type="#_x0000_t32" style="position:absolute;left:3982;top:6416;height:0;width:29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矩形 20"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流程图: 过程 7" o:spid="_x0000_s1041"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矩形 8" o:spid="_x0000_s1042"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流程图: 过程 13" o:spid="_x0000_s1043" type="#_x0000_t109" style="position:absolute;left:333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流程图: 决策 10" o:spid="_x0000_s1044"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流程图: 过程 12" o:spid="_x0000_s1045"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流程图: 过程 14" o:spid="_x0000_s1046"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直接箭头连接符 15" o:spid="_x0000_s1047"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终止 22" o:spid="_x0000_s1048" type="#_x0000_t116" style="position:absolute;left:1258;top:3393;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p>
    <w:sectPr>
      <w:footerReference r:id="rId5"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nhideWhenUsed="0" w:uiPriority="99" w:semiHidden="0" w:name="footnote reference"/>
    <w:lsdException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iPriority="0" w:name="annotation subject" w:locked="1"/>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8"/>
    <w:qFormat/>
    <w:uiPriority w:val="99"/>
    <w:pPr>
      <w:ind w:right="300"/>
      <w:outlineLvl w:val="2"/>
    </w:pPr>
    <w:rPr>
      <w:rFonts w:ascii="仿宋_GB2312" w:eastAsia="仿宋_GB2312"/>
      <w:sz w:val="30"/>
      <w:szCs w:val="30"/>
    </w:rPr>
  </w:style>
  <w:style w:type="character" w:default="1" w:styleId="12">
    <w:name w:val="Default Paragraph Font"/>
    <w:semiHidden/>
    <w:uiPriority w:val="99"/>
  </w:style>
  <w:style w:type="paragraph" w:styleId="5">
    <w:name w:val="Document Map"/>
    <w:basedOn w:val="1"/>
    <w:link w:val="29"/>
    <w:uiPriority w:val="99"/>
    <w:rPr>
      <w:rFonts w:ascii="宋体"/>
      <w:sz w:val="18"/>
      <w:szCs w:val="18"/>
    </w:rPr>
  </w:style>
  <w:style w:type="paragraph" w:styleId="6">
    <w:name w:val="annotation text"/>
    <w:basedOn w:val="1"/>
    <w:link w:val="30"/>
    <w:uiPriority w:val="99"/>
    <w:pPr>
      <w:jc w:val="left"/>
    </w:pPr>
  </w:style>
  <w:style w:type="paragraph" w:styleId="7">
    <w:name w:val="Balloon Text"/>
    <w:basedOn w:val="1"/>
    <w:link w:val="31"/>
    <w:uiPriority w:val="99"/>
    <w:rPr>
      <w:sz w:val="18"/>
      <w:szCs w:val="18"/>
    </w:rPr>
  </w:style>
  <w:style w:type="paragraph" w:styleId="8">
    <w:name w:val="footer"/>
    <w:basedOn w:val="1"/>
    <w:link w:val="32"/>
    <w:uiPriority w:val="99"/>
    <w:pPr>
      <w:tabs>
        <w:tab w:val="center" w:pos="4153"/>
        <w:tab w:val="right" w:pos="8306"/>
      </w:tabs>
      <w:snapToGrid w:val="0"/>
      <w:jc w:val="left"/>
    </w:pPr>
    <w:rPr>
      <w:sz w:val="18"/>
      <w:szCs w:val="18"/>
    </w:rPr>
  </w:style>
  <w:style w:type="paragraph" w:styleId="9">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uiPriority w:val="99"/>
    <w:pPr>
      <w:snapToGrid w:val="0"/>
      <w:jc w:val="left"/>
    </w:pPr>
    <w:rPr>
      <w:rFonts w:cs="Times New Roman"/>
      <w:kern w:val="2"/>
      <w:sz w:val="18"/>
      <w:szCs w:val="18"/>
    </w:rPr>
  </w:style>
  <w:style w:type="character" w:customStyle="1" w:styleId="11">
    <w:name w:val="脚注文本 Char"/>
    <w:basedOn w:val="12"/>
    <w:semiHidden/>
    <w:uiPriority w:val="99"/>
    <w:rPr>
      <w:rFonts w:cs="Times New Roman"/>
      <w:kern w:val="2"/>
      <w:sz w:val="18"/>
      <w:szCs w:val="18"/>
    </w:rPr>
  </w:style>
  <w:style w:type="paragraph" w:styleId="13">
    <w:name w:val="HTML Preformatted"/>
    <w:basedOn w:val="1"/>
    <w:link w:val="3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iPriority w:val="99"/>
    <w:rPr>
      <w:rFonts w:ascii="??" w:hAnsi="??" w:cs="Times New Roman"/>
      <w:color w:val="0453CC"/>
      <w:sz w:val="20"/>
      <w:szCs w:val="20"/>
      <w:u w:val="none"/>
    </w:rPr>
  </w:style>
  <w:style w:type="character" w:styleId="16">
    <w:name w:val="annotation reference"/>
    <w:basedOn w:val="12"/>
    <w:semiHidden/>
    <w:uiPriority w:val="99"/>
    <w:rPr>
      <w:rFonts w:cs="Times New Roman"/>
      <w:sz w:val="21"/>
      <w:szCs w:val="21"/>
    </w:rPr>
  </w:style>
  <w:style w:type="character" w:styleId="17">
    <w:name w:val="footnote reference"/>
    <w:basedOn w:val="12"/>
    <w:uiPriority w:val="99"/>
    <w:rPr>
      <w:rFonts w:ascii="Times New Roman" w:hAnsi="Times New Roman" w:cs="Times New Roman"/>
      <w:vertAlign w:val="superscript"/>
    </w:rPr>
  </w:style>
  <w:style w:type="paragraph" w:customStyle="1" w:styleId="18">
    <w:name w:val="List Paragraph"/>
    <w:basedOn w:val="1"/>
    <w:qFormat/>
    <w:uiPriority w:val="99"/>
    <w:pPr>
      <w:ind w:firstLine="420" w:firstLineChars="200"/>
    </w:pPr>
  </w:style>
  <w:style w:type="paragraph" w:customStyle="1" w:styleId="19">
    <w:name w:val="Default"/>
    <w:uiPriority w:val="99"/>
    <w:pPr>
      <w:widowControl w:val="0"/>
      <w:autoSpaceDE w:val="0"/>
      <w:autoSpaceDN w:val="0"/>
      <w:adjustRightInd w:val="0"/>
    </w:pPr>
    <w:rPr>
      <w:rFonts w:ascii="仿宋_GB2312"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Revision1"/>
    <w:hidden/>
    <w:semiHidden/>
    <w:uiPriority w:val="99"/>
  </w:style>
  <w:style w:type="paragraph" w:customStyle="1" w:styleId="22">
    <w:name w:val="列出段落1"/>
    <w:basedOn w:val="1"/>
    <w:uiPriority w:val="99"/>
    <w:pPr>
      <w:ind w:firstLine="420" w:firstLineChars="200"/>
    </w:pPr>
  </w:style>
  <w:style w:type="paragraph" w:customStyle="1" w:styleId="23">
    <w:name w:val="列出段落4"/>
    <w:basedOn w:val="1"/>
    <w:uiPriority w:val="99"/>
    <w:pPr>
      <w:ind w:firstLine="200" w:firstLineChars="200"/>
    </w:pPr>
  </w:style>
  <w:style w:type="paragraph" w:customStyle="1" w:styleId="24">
    <w:name w:val="列出段落3"/>
    <w:basedOn w:val="1"/>
    <w:uiPriority w:val="99"/>
    <w:pPr>
      <w:ind w:firstLine="420" w:firstLineChars="200"/>
    </w:pPr>
    <w:rPr>
      <w:rFonts w:ascii="Times New Roman" w:hAnsi="Times New Roman"/>
      <w:szCs w:val="24"/>
    </w:rPr>
  </w:style>
  <w:style w:type="paragraph" w:customStyle="1" w:styleId="25">
    <w:name w:val="p0"/>
    <w:basedOn w:val="1"/>
    <w:uiPriority w:val="99"/>
    <w:pPr>
      <w:widowControl/>
    </w:pPr>
    <w:rPr>
      <w:rFonts w:cs="宋体"/>
      <w:kern w:val="0"/>
      <w:szCs w:val="21"/>
    </w:rPr>
  </w:style>
  <w:style w:type="character" w:customStyle="1" w:styleId="26">
    <w:name w:val="Heading 1 Char"/>
    <w:basedOn w:val="12"/>
    <w:link w:val="2"/>
    <w:uiPriority w:val="99"/>
    <w:rPr>
      <w:rFonts w:ascii="黑体" w:hAnsi="黑体" w:eastAsia="黑体" w:cs="宋体"/>
      <w:color w:val="000000"/>
      <w:kern w:val="0"/>
      <w:sz w:val="30"/>
      <w:szCs w:val="30"/>
    </w:rPr>
  </w:style>
  <w:style w:type="character" w:customStyle="1" w:styleId="27">
    <w:name w:val="Heading 2 Char"/>
    <w:basedOn w:val="12"/>
    <w:link w:val="3"/>
    <w:uiPriority w:val="99"/>
    <w:rPr>
      <w:rFonts w:ascii="Cambria" w:hAnsi="Cambria" w:eastAsia="宋体" w:cs="Times New Roman"/>
      <w:b/>
      <w:bCs/>
      <w:sz w:val="32"/>
      <w:szCs w:val="32"/>
    </w:rPr>
  </w:style>
  <w:style w:type="character" w:customStyle="1" w:styleId="28">
    <w:name w:val="Heading 3 Char"/>
    <w:basedOn w:val="12"/>
    <w:link w:val="4"/>
    <w:uiPriority w:val="99"/>
    <w:rPr>
      <w:rFonts w:ascii="仿宋_GB2312" w:hAnsi="Calibri" w:eastAsia="仿宋_GB2312" w:cs="Times New Roman"/>
      <w:sz w:val="30"/>
      <w:szCs w:val="30"/>
    </w:rPr>
  </w:style>
  <w:style w:type="character" w:customStyle="1" w:styleId="29">
    <w:name w:val="Document Map Char Char"/>
    <w:basedOn w:val="12"/>
    <w:link w:val="5"/>
    <w:uiPriority w:val="99"/>
    <w:rPr>
      <w:rFonts w:ascii="宋体" w:cs="Times New Roman"/>
      <w:sz w:val="18"/>
      <w:szCs w:val="18"/>
    </w:rPr>
  </w:style>
  <w:style w:type="character" w:customStyle="1" w:styleId="30">
    <w:name w:val="Comment Text Char"/>
    <w:basedOn w:val="12"/>
    <w:link w:val="6"/>
    <w:uiPriority w:val="99"/>
    <w:rPr>
      <w:rFonts w:ascii="Calibri" w:hAnsi="Calibri" w:eastAsia="宋体" w:cs="Times New Roman"/>
    </w:rPr>
  </w:style>
  <w:style w:type="character" w:customStyle="1" w:styleId="31">
    <w:name w:val="Balloon Text Char Char"/>
    <w:basedOn w:val="12"/>
    <w:link w:val="7"/>
    <w:uiPriority w:val="99"/>
    <w:rPr>
      <w:rFonts w:cs="Times New Roman"/>
      <w:sz w:val="18"/>
      <w:szCs w:val="18"/>
    </w:rPr>
  </w:style>
  <w:style w:type="character" w:customStyle="1" w:styleId="32">
    <w:name w:val="Footer Char"/>
    <w:basedOn w:val="12"/>
    <w:link w:val="8"/>
    <w:uiPriority w:val="99"/>
    <w:rPr>
      <w:rFonts w:cs="Times New Roman"/>
      <w:sz w:val="18"/>
      <w:szCs w:val="18"/>
    </w:rPr>
  </w:style>
  <w:style w:type="character" w:customStyle="1" w:styleId="33">
    <w:name w:val="Header Char"/>
    <w:basedOn w:val="12"/>
    <w:link w:val="9"/>
    <w:uiPriority w:val="99"/>
    <w:rPr>
      <w:rFonts w:cs="Times New Roman"/>
      <w:sz w:val="18"/>
      <w:szCs w:val="18"/>
    </w:rPr>
  </w:style>
  <w:style w:type="character" w:customStyle="1" w:styleId="34">
    <w:name w:val="Footnote Text Char"/>
    <w:basedOn w:val="12"/>
    <w:link w:val="10"/>
    <w:uiPriority w:val="99"/>
    <w:rPr>
      <w:rFonts w:ascii="Times New Roman" w:hAnsi="Times New Roman" w:cs="Times New Roman"/>
      <w:sz w:val="18"/>
      <w:szCs w:val="18"/>
    </w:rPr>
  </w:style>
  <w:style w:type="character" w:customStyle="1" w:styleId="35">
    <w:name w:val="HTML Preformatted Char Char"/>
    <w:basedOn w:val="12"/>
    <w:link w:val="13"/>
    <w:uiPriority w:val="99"/>
    <w:rPr>
      <w:rFonts w:ascii="宋体" w:hAnsi="宋体" w:eastAsia="宋体" w:cs="宋体"/>
      <w:kern w:val="0"/>
      <w:sz w:val="24"/>
      <w:szCs w:val="24"/>
    </w:rPr>
  </w:style>
  <w:style w:type="character" w:customStyle="1" w:styleId="36">
    <w:name w:val="标题 4 Char Char"/>
    <w:uiPriority w:val="99"/>
    <w:rPr>
      <w:rFonts w:ascii="Calibri" w:hAnsi="Calibri"/>
      <w:b/>
      <w:sz w:val="28"/>
      <w:lang w:eastAsia="en-US"/>
    </w:rPr>
  </w:style>
  <w:style w:type="character" w:customStyle="1" w:styleId="37">
    <w:name w:val="批注文字 Char1"/>
    <w:basedOn w:val="12"/>
    <w:semiHidden/>
    <w:uiPriority w:val="99"/>
    <w:rPr>
      <w:rFonts w:cs="Times New Roman"/>
      <w:kern w:val="2"/>
      <w:sz w:val="22"/>
      <w:szCs w:val="22"/>
    </w:rPr>
  </w:style>
  <w:style w:type="character" w:customStyle="1" w:styleId="38">
    <w:name w:val="Intense Emphasis1"/>
    <w:basedOn w:val="12"/>
    <w:uiPriority w:val="99"/>
    <w:rPr>
      <w:rFonts w:cs="Times New Roman"/>
      <w:b/>
      <w:bCs/>
      <w:i/>
      <w:iCs/>
      <w:color w:val="4F81BD"/>
    </w:rPr>
  </w:style>
  <w:style w:type="character" w:customStyle="1" w:styleId="39">
    <w:name w:val="文档结构图 Char1"/>
    <w:basedOn w:val="12"/>
    <w:semiHidden/>
    <w:uiPriority w:val="99"/>
    <w:rPr>
      <w:rFonts w:ascii="宋体" w:eastAsia="宋体" w:cs="Times New Roman"/>
      <w:sz w:val="18"/>
      <w:szCs w:val="18"/>
    </w:rPr>
  </w:style>
  <w:style w:type="character" w:customStyle="1" w:styleId="40">
    <w:name w:val="脚注文本 Char2"/>
    <w:basedOn w:val="12"/>
    <w:semiHidden/>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329</Words>
  <Characters>1877</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2020-02-27T06:09:00Z</dcterms:created>
  <dc:creator>裴建君2</dc:creator>
  <cp:lastModifiedBy>张乃丹</cp:lastModifiedBy>
  <cp:lastPrinted>2020-09-08T02:25:00Z</cp:lastPrinted>
  <dcterms:modified xsi:type="dcterms:W3CDTF">2021-09-13T08:17:42Z</dcterms:modified>
  <dc:title>编号：57017-2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