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省级分局和计划单列市分局办理的个人携带</w:t>
      </w:r>
    </w:p>
    <w:p>
      <w:pPr>
        <w:jc w:val="center"/>
        <w:rPr>
          <w:rFonts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规定金额以上外币现钞出境核准新办</w:t>
      </w:r>
    </w:p>
    <w:p>
      <w:pPr>
        <w:jc w:val="center"/>
        <w:rPr>
          <w:rFonts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【00017110600201】</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基本要素</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行政许可事项名称</w:t>
      </w:r>
      <w:r>
        <w:rPr>
          <w:rFonts w:hint="eastAsia" w:ascii="Times New Roman" w:hAnsi="Times New Roman" w:eastAsia="仿宋GB2312"/>
          <w:b/>
          <w:bCs/>
          <w:sz w:val="28"/>
          <w:szCs w:val="28"/>
        </w:rPr>
        <w:t>及编码</w:t>
      </w:r>
    </w:p>
    <w:p>
      <w:pPr>
        <w:spacing w:line="360" w:lineRule="auto"/>
        <w:ind w:firstLine="560" w:firstLineChars="200"/>
        <w:rPr>
          <w:rFonts w:ascii="仿宋" w:hAnsi="仿宋" w:eastAsia="仿宋" w:cs="仿宋"/>
          <w:sz w:val="28"/>
          <w:szCs w:val="28"/>
        </w:rPr>
      </w:pPr>
      <w:r>
        <w:rPr>
          <w:rFonts w:hint="eastAsia" w:ascii="方正仿宋_GBK" w:hAnsi="方正仿宋_GBK" w:eastAsia="方正仿宋_GBK" w:cs="方正仿宋_GBK"/>
          <w:sz w:val="28"/>
          <w:szCs w:val="28"/>
        </w:rPr>
        <w:t>外币现钞提取、出境携带、跨境调运核准【00017110600Y】</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行政许可</w:t>
      </w:r>
      <w:r>
        <w:rPr>
          <w:rFonts w:hint="eastAsia" w:ascii="Times New Roman" w:hAnsi="Times New Roman" w:eastAsia="仿宋GB2312"/>
          <w:b/>
          <w:bCs/>
          <w:sz w:val="28"/>
          <w:szCs w:val="28"/>
        </w:rPr>
        <w:t>事项子项名称及编码</w:t>
      </w:r>
    </w:p>
    <w:p>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省级分局和计划单列市分局办理的个人携带规定金额以上外币现钞出境核准【000171106002】</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3.行政许可事项业务办理项名称及编码</w:t>
      </w:r>
    </w:p>
    <w:p>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省级分局和计划单列市分局办理的个人携带规定金额以上外币现钞出境核准新办(00017110600201)</w:t>
      </w:r>
    </w:p>
    <w:p>
      <w:pPr>
        <w:spacing w:line="360" w:lineRule="auto"/>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4.设定依据</w:t>
      </w:r>
    </w:p>
    <w:p>
      <w:pPr>
        <w:spacing w:line="540" w:lineRule="exact"/>
        <w:ind w:firstLine="560" w:firstLineChars="200"/>
        <w:outlineLvl w:val="2"/>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（1）《国务院对确需保留的行政审批项目设定行政许可的决定》</w:t>
      </w:r>
    </w:p>
    <w:p>
      <w:pPr>
        <w:spacing w:line="540" w:lineRule="exact"/>
        <w:ind w:firstLine="560" w:firstLineChars="200"/>
        <w:outlineLvl w:val="2"/>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（2）《中华人民共和国外汇管理条例》第十五条</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5.实施依据</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（1）《个人外汇管理办法》（中国人民银行令2006年第3号）第三十三条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（2）《经常项目外汇业务指引（2020年版）》（汇发〔2020〕14号文印发）第八十九条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（3）《携带外币现钞出入境管理暂行办法》（汇发〔2003〕102号文印发）第二条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（4）《国家外汇管理局行政许可实施办法》（国家外汇管理局公告2021年第1号）</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6.监管依据：</w:t>
      </w:r>
      <w:r>
        <w:rPr>
          <w:rFonts w:ascii="方正仿宋_GBK" w:hAnsi="方正仿宋_GBK" w:eastAsia="方正仿宋_GBK" w:cs="方正仿宋_GBK"/>
          <w:sz w:val="28"/>
          <w:szCs w:val="28"/>
        </w:rPr>
        <w:t>《中华人民共和国外汇管理条例》</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实施机关</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国家外汇局省级分局和计划单列市分局</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审批层级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国家级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9.行使</w:t>
      </w:r>
      <w:r>
        <w:rPr>
          <w:rFonts w:ascii="Times New Roman" w:hAnsi="Times New Roman" w:eastAsia="仿宋GB2312"/>
          <w:b/>
          <w:bCs/>
          <w:sz w:val="28"/>
          <w:szCs w:val="28"/>
        </w:rPr>
        <w:t>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省级/直属</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是否由审批机关受理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11.</w:t>
      </w:r>
      <w:r>
        <w:rPr>
          <w:rFonts w:ascii="Times New Roman" w:hAnsi="Times New Roman" w:eastAsia="仿宋GB2312"/>
          <w:b/>
          <w:bCs/>
          <w:sz w:val="28"/>
          <w:szCs w:val="28"/>
        </w:rPr>
        <w:t>受理层级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省级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12.</w:t>
      </w:r>
      <w:r>
        <w:rPr>
          <w:rFonts w:ascii="Times New Roman" w:hAnsi="Times New Roman" w:eastAsia="仿宋GB2312"/>
          <w:b/>
          <w:bCs/>
          <w:sz w:val="28"/>
          <w:szCs w:val="28"/>
        </w:rPr>
        <w:t>是否存在初审环节</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highlight w:val="yellow"/>
        </w:rPr>
      </w:pPr>
      <w:r>
        <w:rPr>
          <w:rFonts w:hint="eastAsia" w:ascii="Times New Roman" w:hAnsi="Times New Roman" w:eastAsia="仿宋GB2312"/>
          <w:b/>
          <w:bCs/>
          <w:sz w:val="28"/>
          <w:szCs w:val="28"/>
        </w:rPr>
        <w:t>13.</w:t>
      </w:r>
      <w:r>
        <w:rPr>
          <w:rFonts w:ascii="Times New Roman" w:hAnsi="Times New Roman" w:eastAsia="仿宋GB2312"/>
          <w:b/>
          <w:bCs/>
          <w:sz w:val="28"/>
          <w:szCs w:val="28"/>
        </w:rPr>
        <w:t>初审层级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jc w:val="left"/>
        <w:rPr>
          <w:rFonts w:ascii="Times New Roman" w:hAnsi="Times New Roman" w:eastAsia="仿宋GB2312"/>
          <w:sz w:val="28"/>
          <w:szCs w:val="28"/>
        </w:rPr>
      </w:pPr>
      <w:r>
        <w:rPr>
          <w:rFonts w:hint="eastAsia" w:ascii="Times New Roman" w:hAnsi="Times New Roman" w:eastAsia="仿宋GB2312"/>
          <w:b/>
          <w:bCs/>
          <w:sz w:val="28"/>
          <w:szCs w:val="28"/>
        </w:rPr>
        <w:t>14.</w:t>
      </w:r>
      <w:r>
        <w:rPr>
          <w:rFonts w:ascii="Times New Roman" w:hAnsi="Times New Roman" w:eastAsia="仿宋GB2312"/>
          <w:b/>
          <w:bCs/>
          <w:sz w:val="28"/>
          <w:szCs w:val="28"/>
        </w:rPr>
        <w:t>对应政务服务事项国家级基本目录名称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个人外币现钞携带出境审核（一人携带超过等值10000美元现钞出境）</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行政许可事项类型</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条件型</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行政许可条件</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1.准予行政许可的条件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个人赴战乱、外汇管制严格、金融条件差或金融动乱的国家（地区），确有需要携带超过等值1万美元外币现钞出境的。</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规定行政许可条件的依据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《经常项目外汇业务指引（2020年版）》（汇发〔2020〕14号文印发）第八十九条</w:t>
      </w:r>
      <w:r>
        <w:rPr>
          <w:rFonts w:hint="eastAsia" w:ascii="方正仿宋_GBK" w:hAnsi="方正仿宋_GBK" w:eastAsia="方正仿宋_GBK" w:cs="方正仿宋_GBK"/>
          <w:sz w:val="28"/>
          <w:szCs w:val="28"/>
        </w:rPr>
        <w:t xml:space="preserve"> </w:t>
      </w:r>
      <w:r>
        <w:rPr>
          <w:rFonts w:ascii="方正仿宋_GBK" w:hAnsi="方正仿宋_GBK" w:eastAsia="方正仿宋_GBK" w:cs="方正仿宋_GBK"/>
          <w:sz w:val="28"/>
          <w:szCs w:val="28"/>
        </w:rPr>
        <w:t>个人携带外币现钞出境，没有或超出最近一次入境申报外币现钞数据记录的，金额在等值5000美元以上至1万美元（含）的，应向银行申领《携带外汇出境许可证》。个人赴战乱、外汇管制严格、金融条件差或金融动乱的国家（地区），确有需要携带超过等值1万美元外币现钞出境的，需向存款或购汇银行所在地外汇局申领《携带外汇出境许可证》。</w:t>
      </w:r>
    </w:p>
    <w:p>
      <w:pPr>
        <w:numPr>
          <w:ilvl w:val="0"/>
          <w:numId w:val="1"/>
        </w:numPr>
        <w:spacing w:line="540" w:lineRule="exact"/>
        <w:outlineLvl w:val="1"/>
        <w:rPr>
          <w:rFonts w:ascii="Times New Roman" w:hAnsi="Times New Roman" w:eastAsia="黑体"/>
          <w:sz w:val="28"/>
          <w:szCs w:val="28"/>
        </w:rPr>
      </w:pPr>
      <w:r>
        <w:rPr>
          <w:rFonts w:ascii="Times New Roman" w:hAnsi="Times New Roman" w:eastAsia="黑体"/>
          <w:sz w:val="28"/>
          <w:szCs w:val="28"/>
        </w:rPr>
        <w:t>行政许可服务对象类型</w:t>
      </w:r>
      <w:r>
        <w:rPr>
          <w:rFonts w:hint="eastAsia" w:ascii="Times New Roman" w:hAnsi="Times New Roman" w:eastAsia="黑体"/>
          <w:sz w:val="28"/>
          <w:szCs w:val="28"/>
        </w:rPr>
        <w:t>与改革举措</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1.服务对象类型：</w:t>
      </w:r>
      <w:r>
        <w:rPr>
          <w:rFonts w:ascii="方正仿宋_GBK" w:hAnsi="方正仿宋_GBK" w:eastAsia="方正仿宋_GBK" w:cs="方正仿宋_GBK"/>
          <w:sz w:val="28"/>
          <w:szCs w:val="28"/>
        </w:rPr>
        <w:t>自然人</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2.是否为涉企许可事项：</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3.涉企经营许可事项名称：</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4.许可证件名称：</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5.改革方式：</w:t>
      </w:r>
      <w:r>
        <w:rPr>
          <w:rFonts w:ascii="方正仿宋_GBK" w:hAnsi="方正仿宋_GBK" w:eastAsia="方正仿宋_GBK" w:cs="方正仿宋_GBK"/>
          <w:sz w:val="28"/>
          <w:szCs w:val="28"/>
        </w:rPr>
        <w:t>无</w:t>
      </w:r>
    </w:p>
    <w:p>
      <w:pPr>
        <w:spacing w:line="54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6.具体改革举措：</w:t>
      </w:r>
      <w:r>
        <w:rPr>
          <w:rFonts w:ascii="方正仿宋_GBK" w:hAnsi="方正仿宋_GBK" w:eastAsia="方正仿宋_GBK" w:cs="方正仿宋_GBK"/>
          <w:sz w:val="28"/>
          <w:szCs w:val="28"/>
        </w:rPr>
        <w:t>无</w:t>
      </w:r>
    </w:p>
    <w:p>
      <w:pPr>
        <w:spacing w:line="54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7.加强事中事后监管措施</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（1）开展“双随机、一公开”监管，依法查处违规行为，适时公开相关案例。（2）依法及时处理投诉举报。（3）开展数据统计与监测，掌握外汇业务情况。</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申请材料</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1.申请材料名称</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书面申请原件1份。</w:t>
      </w:r>
      <w:r>
        <w:rPr>
          <w:rFonts w:hint="eastAsia" w:ascii="方正仿宋_GBK" w:hAnsi="方正仿宋_GBK" w:eastAsia="方正仿宋_GBK" w:cs="方正仿宋_GBK"/>
          <w:sz w:val="28"/>
          <w:szCs w:val="28"/>
        </w:rPr>
        <w:tab/>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加盖签章的护照等相关出境证件复印件1份。</w:t>
      </w:r>
      <w:r>
        <w:rPr>
          <w:rFonts w:hint="eastAsia" w:ascii="方正仿宋_GBK" w:hAnsi="方正仿宋_GBK" w:eastAsia="方正仿宋_GBK" w:cs="方正仿宋_GBK"/>
          <w:sz w:val="28"/>
          <w:szCs w:val="28"/>
        </w:rPr>
        <w:tab/>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加盖签章的有效签证或签注（实行免签或落地签的国家和地区不提供）复印件1份。</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ab/>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加盖签章的存款证明（利息清单或取款凭条）或相关购汇凭证或入境申报外币现钞数额的海关申报单等现钞来源证明复印件1份。</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加盖签章的确需携带超过等值1万美元外币现钞出境的证明材料复印件1份。</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规定申请材料的依据</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携带外币现钞出入境管理操作规程》（汇发〔2004〕21号文印发）携带外币现钞出境携带总金额超过等值10000美元的，审核材料：1、书面申请；2、护照或往来港澳通行证、往来台湾通行证；3、有效签证或签注；4、存款证明（利息清单或取款凭条）或相关购汇凭证；5、确需携带超过等值10000美元外币现钞出境的证明材料。</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中介服务</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1.有无法定中介服务事项：</w:t>
      </w:r>
      <w:r>
        <w:rPr>
          <w:rFonts w:ascii="方正仿宋_GBK" w:hAnsi="方正仿宋_GBK" w:eastAsia="方正仿宋_GBK" w:cs="方正仿宋_GBK"/>
          <w:sz w:val="28"/>
          <w:szCs w:val="28"/>
        </w:rPr>
        <w:t>无</w:t>
      </w:r>
    </w:p>
    <w:p>
      <w:pPr>
        <w:spacing w:line="60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中介服务事项名称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设定中介服务事项的依据</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提供中介服务的机构</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中介服务事项的收费性质</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审批程序</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1.办理行政许可的程序环节</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申请人申请；</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审批机构受理/不予受理；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审批机构审查；</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决定作出许可决定书/不予许可决定书</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2.规定行政许可程序的依据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《国家外汇管理局行政许可实施办法》（国家外汇管理局公告2021年第1号）第十条、第十四条</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第十条</w:t>
      </w:r>
      <w:r>
        <w:rPr>
          <w:rFonts w:hint="eastAsia" w:ascii="方正仿宋_GBK" w:hAnsi="方正仿宋_GBK" w:eastAsia="方正仿宋_GBK" w:cs="方正仿宋_GBK"/>
          <w:sz w:val="28"/>
          <w:szCs w:val="28"/>
        </w:rPr>
        <w:t xml:space="preserve"> </w:t>
      </w:r>
      <w:r>
        <w:rPr>
          <w:rFonts w:ascii="方正仿宋_GBK" w:hAnsi="方正仿宋_GBK" w:eastAsia="方正仿宋_GBK" w:cs="方正仿宋_GBK"/>
          <w:sz w:val="28"/>
          <w:szCs w:val="28"/>
        </w:rPr>
        <w:t>外汇局收到行政许可申请后，应区分下列情况分别作出处理：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1.申请事项属于本局职责范围，但依法不需要取得行政许可的，应即时告知申请人不受理，出具不予受理行政许可通知书；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2.申请事项不属于本局职责范围，应即时作出不予受理的决定，出具不予受理行政许可通知书，并告知申请人向有关行政机关申请；</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申请事项属于本局职责范围，但申请材料不齐全或不符合法定形式的，应当场或在收到申请材料之日起5个工作日内作出要求申请人补正材料的决定，出具补正告知书，一次性告知申请人需要补正的全部内容；逾期不告知的，自收到申请材料之日起即为受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申请人拒不补正，或者自补正告知书送达之日起30日内未能提交全部且符合法定形式的补正材料的，应不予受理，出具不予受理行政许可通知书；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申请材料存在文字笔误等可当场更正的错误的，应允许申请人当场更正，并告知其在修改处签字或盖章确认；</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4.申请事项属于本局职责范围，申请材料齐全、符合法定形式，或者申请人按照要求提交全部补正申请材料的，应受理行政许可申请，出具行政许可受理通知书。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第十四条</w:t>
      </w:r>
      <w:r>
        <w:rPr>
          <w:rFonts w:hint="eastAsia" w:ascii="方正仿宋_GBK" w:hAnsi="方正仿宋_GBK" w:eastAsia="方正仿宋_GBK" w:cs="方正仿宋_GBK"/>
          <w:sz w:val="28"/>
          <w:szCs w:val="28"/>
        </w:rPr>
        <w:t xml:space="preserve"> </w:t>
      </w:r>
      <w:r>
        <w:rPr>
          <w:rFonts w:ascii="方正仿宋_GBK" w:hAnsi="方正仿宋_GBK" w:eastAsia="方正仿宋_GBK" w:cs="方正仿宋_GBK"/>
          <w:sz w:val="28"/>
          <w:szCs w:val="28"/>
        </w:rPr>
        <w:t>外汇局对行政许可申请审查后，应区分下列情况分别作出处理：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1.申请符合法定条件、拟准予行政许可的，应出具准予行政许可的书面决定。准予行政许可的书面决定应载明名称、出具单位、被许可人姓名或名称、行政许可事项、颁发日期、有效期（如有）等；</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2.申请不符合法定条件、拟不予行政许可的，应出具不予行政许可决定书，并说明不予行政许可的理由，告知申请人享有依法申请行政复议的权利。</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是否需要现场勘验</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是否需要组织听证</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是否需要招标、拍卖、挂牌交易</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6.</w:t>
      </w:r>
      <w:r>
        <w:rPr>
          <w:rFonts w:ascii="Times New Roman" w:hAnsi="Times New Roman" w:eastAsia="仿宋GB2312"/>
          <w:b/>
          <w:bCs/>
          <w:sz w:val="28"/>
          <w:szCs w:val="28"/>
        </w:rPr>
        <w:t>是否需要检验、检测、检疫</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是否需要鉴定</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是否需要专家评审</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w:t>
      </w:r>
      <w:r>
        <w:rPr>
          <w:rFonts w:ascii="Times New Roman" w:hAnsi="Times New Roman" w:eastAsia="仿宋GB2312"/>
          <w:b/>
          <w:bCs/>
          <w:sz w:val="28"/>
          <w:szCs w:val="28"/>
        </w:rPr>
        <w:t>是否需要向社会公示</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是否实行告知承诺办理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11.审批机关是否委托服务机构开展技术性服务：</w:t>
      </w:r>
      <w:r>
        <w:rPr>
          <w:rFonts w:hint="eastAsia" w:ascii="方正仿宋_GBK" w:hAnsi="方正仿宋_GBK" w:eastAsia="方正仿宋_GBK" w:cs="方正仿宋_GBK"/>
          <w:sz w:val="28"/>
          <w:szCs w:val="28"/>
        </w:rPr>
        <w:t>否</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受理和审批时限</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1.承诺受理时限：</w:t>
      </w:r>
      <w:r>
        <w:rPr>
          <w:rFonts w:ascii="方正仿宋_GBK" w:hAnsi="方正仿宋_GBK" w:eastAsia="方正仿宋_GBK" w:cs="方正仿宋_GBK"/>
          <w:sz w:val="28"/>
          <w:szCs w:val="28"/>
        </w:rPr>
        <w:t>5个工作日</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2.法定审批时限：</w:t>
      </w:r>
      <w:r>
        <w:rPr>
          <w:rFonts w:hint="eastAsia" w:ascii="方正仿宋_GBK" w:hAnsi="方正仿宋_GBK" w:eastAsia="方正仿宋_GBK" w:cs="方正仿宋_GBK"/>
          <w:sz w:val="28"/>
          <w:szCs w:val="28"/>
        </w:rPr>
        <w:t>20个工作日</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3.规定法定审批时限依据</w:t>
      </w:r>
    </w:p>
    <w:p>
      <w:pPr>
        <w:spacing w:line="600" w:lineRule="exact"/>
        <w:ind w:firstLine="560" w:firstLineChars="200"/>
        <w:rPr>
          <w:rFonts w:ascii="Times New Roman" w:hAnsi="Times New Roman" w:eastAsia="仿宋GB2312"/>
          <w:sz w:val="32"/>
          <w:szCs w:val="32"/>
        </w:rPr>
      </w:pPr>
      <w:r>
        <w:rPr>
          <w:rFonts w:ascii="方正仿宋_GBK" w:hAnsi="方正仿宋_GBK" w:eastAsia="方正仿宋_GBK" w:cs="方正仿宋_GBK"/>
          <w:sz w:val="28"/>
          <w:szCs w:val="28"/>
        </w:rPr>
        <w:t>《国家外汇管理局行政许可实施办法》（国家外汇管理局公告2021年第1号）第十五条</w:t>
      </w:r>
      <w:r>
        <w:rPr>
          <w:rFonts w:hint="eastAsia" w:ascii="方正仿宋_GBK" w:hAnsi="方正仿宋_GBK" w:eastAsia="方正仿宋_GBK" w:cs="方正仿宋_GBK"/>
          <w:sz w:val="28"/>
          <w:szCs w:val="28"/>
        </w:rPr>
        <w:t xml:space="preserve"> </w:t>
      </w:r>
      <w:r>
        <w:rPr>
          <w:rFonts w:ascii="方正仿宋_GBK" w:hAnsi="方正仿宋_GBK" w:eastAsia="方正仿宋_GBK" w:cs="方正仿宋_GBK"/>
          <w:sz w:val="28"/>
          <w:szCs w:val="28"/>
        </w:rPr>
        <w:t>外汇局应根据以下要求确保行政许可依法按时完成：</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1.能当场作出决定的，应当场作出行政许可决定。当场作出行政许可决定的，可不出具行政许可受理通知书；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不能当场作出决定的，应自受理之日起20个工作日内作出决定；20个工作日内不能作出决定的，经本级外汇局局长或者主管副局长批准，可延长10个工作日，并向申请人出具延长行政许可办理期限通知书，说明延长期限的理由。行政许可办理期限只能延长一次。</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外汇局征求其他部门意见的时间计算在以上办理时限内；依法需要听证、检验、检测、鉴定、专家评审等的时间，不计算在上述办理时限内。</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各级外汇局对行政许可办理时限具有对外承诺的，应按照其承诺的时限完成；对外承诺的时限应短于20个工作日。</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4.承诺审批时限：</w:t>
      </w:r>
      <w:r>
        <w:rPr>
          <w:rFonts w:ascii="方正仿宋_GBK" w:hAnsi="方正仿宋_GBK" w:eastAsia="方正仿宋_GBK" w:cs="方正仿宋_GBK"/>
          <w:sz w:val="28"/>
          <w:szCs w:val="28"/>
        </w:rPr>
        <w:t>20个工作日</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收费</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1.办理行政许可是否收费：</w:t>
      </w:r>
      <w:r>
        <w:rPr>
          <w:rFonts w:hint="eastAsia" w:ascii="方正仿宋_GBK" w:hAnsi="方正仿宋_GBK" w:eastAsia="方正仿宋_GBK" w:cs="方正仿宋_GBK"/>
          <w:sz w:val="28"/>
          <w:szCs w:val="28"/>
        </w:rPr>
        <w:t>否</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2.收费项目的名称、收费项目的标准、设定收费项目的依据、规定收费标准的依据：</w:t>
      </w:r>
      <w:r>
        <w:rPr>
          <w:rFonts w:hint="eastAsia" w:ascii="方正仿宋_GBK" w:hAnsi="方正仿宋_GBK" w:eastAsia="方正仿宋_GBK" w:cs="方正仿宋_GBK"/>
          <w:sz w:val="28"/>
          <w:szCs w:val="28"/>
        </w:rPr>
        <w:t>无</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行政许可证件</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1.审批结果类型：</w:t>
      </w:r>
      <w:r>
        <w:rPr>
          <w:rFonts w:ascii="方正仿宋_GBK" w:hAnsi="方正仿宋_GBK" w:eastAsia="方正仿宋_GBK" w:cs="方正仿宋_GBK"/>
          <w:sz w:val="28"/>
          <w:szCs w:val="28"/>
        </w:rPr>
        <w:t>批文</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2.审批结果名称：</w:t>
      </w:r>
      <w:r>
        <w:rPr>
          <w:rFonts w:hint="eastAsia" w:ascii="方正仿宋_GBK" w:hAnsi="方正仿宋_GBK" w:eastAsia="方正仿宋_GBK" w:cs="方正仿宋_GBK"/>
          <w:sz w:val="28"/>
          <w:szCs w:val="28"/>
        </w:rPr>
        <w:t>《携带外汇出境许可证》</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3.审批结果的有效期限：</w:t>
      </w:r>
      <w:r>
        <w:rPr>
          <w:rFonts w:hint="eastAsia" w:ascii="方正仿宋_GBK" w:hAnsi="方正仿宋_GBK" w:eastAsia="方正仿宋_GBK" w:cs="方正仿宋_GBK"/>
          <w:sz w:val="28"/>
          <w:szCs w:val="28"/>
        </w:rPr>
        <w:t>30天</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4.规定审批结果有效期限的依据</w:t>
      </w:r>
    </w:p>
    <w:p>
      <w:pPr>
        <w:spacing w:line="600" w:lineRule="exact"/>
        <w:ind w:firstLine="560" w:firstLineChars="200"/>
        <w:rPr>
          <w:rFonts w:ascii="Times New Roman" w:hAnsi="Times New Roman" w:eastAsia="仿宋GB2312"/>
          <w:sz w:val="32"/>
          <w:szCs w:val="32"/>
        </w:rPr>
      </w:pPr>
      <w:r>
        <w:rPr>
          <w:rFonts w:hint="eastAsia" w:ascii="方正仿宋_GBK" w:hAnsi="方正仿宋_GBK" w:eastAsia="方正仿宋_GBK" w:cs="方正仿宋_GBK"/>
          <w:sz w:val="28"/>
          <w:szCs w:val="28"/>
        </w:rPr>
        <w:t>《携带外币现钞出入境管理暂行办法》的通知（汇发〔2003〕102号文印发）第十一条 《携带证》应盖有“国家外汇管理局携带外汇出境核准章”或“银行携带外汇出境专用章”，并自签发之日起30天内一次使用有效。</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5.是否需要办理审批结果变更手续：</w:t>
      </w:r>
      <w:r>
        <w:rPr>
          <w:rFonts w:ascii="方正仿宋_GBK" w:hAnsi="方正仿宋_GBK" w:eastAsia="方正仿宋_GBK" w:cs="方正仿宋_GBK"/>
          <w:sz w:val="28"/>
          <w:szCs w:val="28"/>
        </w:rPr>
        <w:t>否</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6.办理审批结果变更手续的要求：</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7.是否需要办理审批结果延续手续：</w:t>
      </w:r>
      <w:r>
        <w:rPr>
          <w:rFonts w:hint="eastAsia" w:ascii="方正仿宋_GBK" w:hAnsi="方正仿宋_GBK" w:eastAsia="方正仿宋_GBK" w:cs="方正仿宋_GBK"/>
          <w:sz w:val="28"/>
          <w:szCs w:val="28"/>
        </w:rPr>
        <w:t>否</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8.办理审批结果延续手续的要求：</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9.审批结果的有效地域范围：</w:t>
      </w:r>
      <w:r>
        <w:rPr>
          <w:rFonts w:hint="eastAsia" w:ascii="方正仿宋_GBK" w:hAnsi="方正仿宋_GBK" w:eastAsia="方正仿宋_GBK" w:cs="方正仿宋_GBK"/>
          <w:sz w:val="28"/>
          <w:szCs w:val="28"/>
        </w:rPr>
        <w:t>全国</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10.规定审批结果有效地域范围的依据：</w:t>
      </w:r>
      <w:r>
        <w:rPr>
          <w:rFonts w:hint="eastAsia" w:ascii="方正仿宋_GBK" w:hAnsi="方正仿宋_GBK" w:eastAsia="方正仿宋_GBK" w:cs="方正仿宋_GBK"/>
          <w:sz w:val="28"/>
          <w:szCs w:val="28"/>
        </w:rPr>
        <w:t>无</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行政许可数量限制</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1.有无行政许可数量限制：</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2.公布数量限制的方式：</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3.公布数量限制的周期：</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4.在数量限制条件下实施行政许可的方式：</w:t>
      </w:r>
      <w:r>
        <w:rPr>
          <w:rFonts w:hint="eastAsia" w:ascii="方正仿宋_GBK" w:hAnsi="方正仿宋_GBK" w:eastAsia="方正仿宋_GBK" w:cs="方正仿宋_GBK"/>
          <w:sz w:val="28"/>
          <w:szCs w:val="28"/>
        </w:rPr>
        <w:t>无</w:t>
      </w:r>
    </w:p>
    <w:p>
      <w:pPr>
        <w:spacing w:line="600" w:lineRule="exact"/>
        <w:ind w:firstLine="562" w:firstLineChars="200"/>
        <w:jc w:val="left"/>
        <w:rPr>
          <w:rFonts w:ascii="Times New Roman" w:hAnsi="Times New Roman" w:eastAsia="仿宋GB2312"/>
          <w:b/>
          <w:bCs/>
          <w:sz w:val="28"/>
          <w:szCs w:val="28"/>
        </w:rPr>
      </w:pPr>
      <w:r>
        <w:rPr>
          <w:rFonts w:hint="eastAsia" w:ascii="Times New Roman" w:hAnsi="Times New Roman" w:eastAsia="仿宋GB2312"/>
          <w:b/>
          <w:bCs/>
          <w:sz w:val="28"/>
          <w:szCs w:val="28"/>
        </w:rPr>
        <w:t>5.规定在数量限制条件下实施行政许可方式的依据：</w:t>
      </w:r>
      <w:r>
        <w:rPr>
          <w:rFonts w:hint="eastAsia" w:ascii="方正仿宋_GBK" w:hAnsi="方正仿宋_GBK" w:eastAsia="方正仿宋_GBK" w:cs="方正仿宋_GBK"/>
          <w:sz w:val="28"/>
          <w:szCs w:val="28"/>
        </w:rPr>
        <w:t>无</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行政许可后年检</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1.有无年检要求：</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2.设定年检要求的依据：</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3.年检周期：</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4.年检是否要求报送材料：</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5.年检报送材料名称：</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6.年检是否收费：</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7.年检收费项目的名称、年检收费项目的标准、设定年检收费项目的依据、规定年检项目收费标准的依据：</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8.通过年检的证明或者标志：</w:t>
      </w:r>
      <w:r>
        <w:rPr>
          <w:rFonts w:hint="eastAsia" w:ascii="方正仿宋_GBK" w:hAnsi="方正仿宋_GBK" w:eastAsia="方正仿宋_GBK" w:cs="方正仿宋_GBK"/>
          <w:sz w:val="28"/>
          <w:szCs w:val="28"/>
        </w:rPr>
        <w:t>无</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行政许可后年报</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有无年报要求</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年报报送材料名称</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设定年报要求的依据</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年报周期</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监管主体</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国家外汇</w:t>
      </w:r>
      <w:r>
        <w:rPr>
          <w:rFonts w:hint="eastAsia" w:ascii="方正仿宋_GBK" w:hAnsi="方正仿宋_GBK" w:eastAsia="方正仿宋_GBK" w:cs="方正仿宋_GBK"/>
          <w:sz w:val="28"/>
          <w:szCs w:val="28"/>
          <w:lang w:eastAsia="zh-CN"/>
        </w:rPr>
        <w:t>管理</w:t>
      </w:r>
      <w:r>
        <w:rPr>
          <w:rFonts w:hint="eastAsia" w:ascii="方正仿宋_GBK" w:hAnsi="方正仿宋_GBK" w:eastAsia="方正仿宋_GBK" w:cs="方正仿宋_GBK"/>
          <w:sz w:val="28"/>
          <w:szCs w:val="28"/>
        </w:rPr>
        <w:t>局</w:t>
      </w:r>
      <w:r>
        <w:rPr>
          <w:rFonts w:hint="eastAsia" w:ascii="方正仿宋_GBK" w:hAnsi="方正仿宋_GBK" w:eastAsia="方正仿宋_GBK" w:cs="方正仿宋_GBK"/>
          <w:sz w:val="28"/>
          <w:szCs w:val="28"/>
          <w:lang w:eastAsia="zh-CN"/>
        </w:rPr>
        <w:t>内蒙古自治区</w:t>
      </w:r>
      <w:r>
        <w:rPr>
          <w:rFonts w:hint="eastAsia" w:ascii="方正仿宋_GBK" w:hAnsi="方正仿宋_GBK" w:eastAsia="方正仿宋_GBK" w:cs="方正仿宋_GBK"/>
          <w:sz w:val="28"/>
          <w:szCs w:val="28"/>
        </w:rPr>
        <w:t>分局</w:t>
      </w:r>
    </w:p>
    <w:p>
      <w:pPr>
        <w:numPr>
          <w:ilvl w:val="0"/>
          <w:numId w:val="2"/>
        </w:numPr>
        <w:spacing w:line="540" w:lineRule="exact"/>
        <w:outlineLvl w:val="1"/>
        <w:rPr>
          <w:rFonts w:hint="eastAsia" w:ascii="Times New Roman" w:hAnsi="Times New Roman" w:eastAsia="黑体"/>
          <w:sz w:val="28"/>
          <w:szCs w:val="28"/>
          <w:lang w:val="en-US" w:eastAsia="zh-CN"/>
        </w:rPr>
      </w:pPr>
      <w:r>
        <w:rPr>
          <w:rFonts w:hint="eastAsia" w:ascii="Times New Roman" w:hAnsi="Times New Roman" w:eastAsia="黑体"/>
          <w:sz w:val="28"/>
          <w:szCs w:val="28"/>
          <w:lang w:val="en-US" w:eastAsia="zh-CN"/>
        </w:rPr>
        <w:t>咨询途径、办公地址和时间：</w:t>
      </w:r>
    </w:p>
    <w:p>
      <w:pPr>
        <w:pStyle w:val="6"/>
        <w:widowControl/>
        <w:wordWrap/>
        <w:autoSpaceDN w:val="0"/>
        <w:adjustRightInd/>
        <w:snapToGrid/>
        <w:spacing w:before="0" w:beforeLines="0" w:beforeAutospacing="0" w:after="0" w:afterLines="0" w:afterAutospacing="0"/>
        <w:ind w:left="0" w:leftChars="0" w:right="0" w:firstLine="560" w:firstLineChars="200"/>
        <w:jc w:val="both"/>
        <w:textAlignment w:val="auto"/>
        <w:rPr>
          <w:rFonts w:hint="eastAsia" w:ascii="Times New Roman" w:hAnsi="Times New Roman" w:eastAsia="仿宋GB2312" w:cs="Times New Roman"/>
          <w:b/>
          <w:bCs/>
          <w:kern w:val="2"/>
          <w:sz w:val="28"/>
          <w:szCs w:val="28"/>
          <w:lang w:val="en-US" w:eastAsia="zh-CN" w:bidi="ar-SA"/>
        </w:rPr>
      </w:pPr>
      <w:r>
        <w:rPr>
          <w:rFonts w:hint="eastAsia" w:eastAsia="仿宋GB2312" w:cs="Times New Roman"/>
          <w:b/>
          <w:bCs/>
          <w:kern w:val="2"/>
          <w:sz w:val="28"/>
          <w:szCs w:val="28"/>
          <w:lang w:val="en-US" w:eastAsia="zh-CN" w:bidi="ar-SA"/>
        </w:rPr>
        <w:t>1.</w:t>
      </w:r>
      <w:r>
        <w:rPr>
          <w:rFonts w:hint="eastAsia" w:ascii="Times New Roman" w:hAnsi="Times New Roman" w:eastAsia="仿宋GB2312" w:cs="Times New Roman"/>
          <w:b/>
          <w:bCs/>
          <w:kern w:val="2"/>
          <w:sz w:val="28"/>
          <w:szCs w:val="28"/>
          <w:lang w:val="en-US" w:eastAsia="zh-CN" w:bidi="ar-SA"/>
        </w:rPr>
        <w:t>办理时间：</w:t>
      </w:r>
      <w:r>
        <w:rPr>
          <w:rFonts w:hint="eastAsia" w:ascii="Times New Roman" w:hAnsi="Times New Roman" w:eastAsia="仿宋GB2312" w:cs="Times New Roman"/>
          <w:b w:val="0"/>
          <w:bCs w:val="0"/>
          <w:kern w:val="2"/>
          <w:sz w:val="28"/>
          <w:szCs w:val="28"/>
          <w:lang w:val="en-US" w:eastAsia="zh-CN" w:bidi="ar-SA"/>
        </w:rPr>
        <w:t>周一至周五（节假日除外），</w:t>
      </w:r>
      <w:r>
        <w:rPr>
          <w:rFonts w:hint="default" w:ascii="Times New Roman" w:hAnsi="Times New Roman" w:eastAsia="仿宋GB2312" w:cs="Times New Roman"/>
          <w:b w:val="0"/>
          <w:bCs w:val="0"/>
          <w:kern w:val="2"/>
          <w:sz w:val="28"/>
          <w:szCs w:val="28"/>
          <w:lang w:val="en-US" w:eastAsia="zh-CN" w:bidi="ar-SA"/>
        </w:rPr>
        <w:t>8:30-11:30</w:t>
      </w:r>
      <w:r>
        <w:rPr>
          <w:rFonts w:hint="eastAsia" w:ascii="Times New Roman" w:hAnsi="Times New Roman" w:eastAsia="仿宋GB2312" w:cs="Times New Roman"/>
          <w:b w:val="0"/>
          <w:bCs w:val="0"/>
          <w:kern w:val="2"/>
          <w:sz w:val="28"/>
          <w:szCs w:val="28"/>
          <w:lang w:val="en-US" w:eastAsia="zh-CN" w:bidi="ar-SA"/>
        </w:rPr>
        <w:t>，</w:t>
      </w:r>
      <w:r>
        <w:rPr>
          <w:rFonts w:hint="default" w:ascii="Times New Roman" w:hAnsi="Times New Roman" w:eastAsia="仿宋GB2312" w:cs="Times New Roman"/>
          <w:b w:val="0"/>
          <w:bCs w:val="0"/>
          <w:kern w:val="2"/>
          <w:sz w:val="28"/>
          <w:szCs w:val="28"/>
          <w:lang w:val="en-US" w:eastAsia="zh-CN" w:bidi="ar-SA"/>
        </w:rPr>
        <w:t>14:30-17:30</w:t>
      </w:r>
      <w:r>
        <w:rPr>
          <w:rFonts w:hint="eastAsia" w:ascii="Times New Roman" w:hAnsi="Times New Roman" w:eastAsia="仿宋GB2312" w:cs="Times New Roman"/>
          <w:b w:val="0"/>
          <w:bCs w:val="0"/>
          <w:kern w:val="2"/>
          <w:sz w:val="28"/>
          <w:szCs w:val="28"/>
          <w:lang w:val="en-US" w:eastAsia="zh-CN" w:bidi="ar-SA"/>
        </w:rPr>
        <w:t>。</w:t>
      </w:r>
    </w:p>
    <w:p>
      <w:pPr>
        <w:pStyle w:val="6"/>
        <w:widowControl/>
        <w:wordWrap/>
        <w:autoSpaceDN w:val="0"/>
        <w:adjustRightInd/>
        <w:snapToGrid/>
        <w:spacing w:before="0" w:beforeLines="0" w:beforeAutospacing="0" w:after="0" w:afterLines="0" w:afterAutospacing="0"/>
        <w:ind w:left="0" w:leftChars="0" w:right="0" w:firstLine="560" w:firstLineChars="200"/>
        <w:jc w:val="both"/>
        <w:textAlignment w:val="auto"/>
        <w:rPr>
          <w:rFonts w:hint="eastAsia" w:ascii="Times New Roman" w:hAnsi="Times New Roman" w:eastAsia="仿宋GB2312" w:cs="Times New Roman"/>
          <w:b/>
          <w:bCs/>
          <w:kern w:val="2"/>
          <w:sz w:val="28"/>
          <w:szCs w:val="28"/>
          <w:lang w:val="en-US" w:eastAsia="zh-CN" w:bidi="ar-SA"/>
        </w:rPr>
      </w:pPr>
      <w:r>
        <w:rPr>
          <w:rFonts w:hint="eastAsia" w:eastAsia="仿宋GB2312" w:cs="Times New Roman"/>
          <w:b/>
          <w:bCs/>
          <w:kern w:val="2"/>
          <w:sz w:val="28"/>
          <w:szCs w:val="28"/>
          <w:lang w:val="en-US" w:eastAsia="zh-CN" w:bidi="ar-SA"/>
        </w:rPr>
        <w:t>2.</w:t>
      </w:r>
      <w:r>
        <w:rPr>
          <w:rFonts w:hint="eastAsia" w:ascii="Times New Roman" w:hAnsi="Times New Roman" w:eastAsia="仿宋GB2312" w:cs="Times New Roman"/>
          <w:b/>
          <w:bCs/>
          <w:kern w:val="2"/>
          <w:sz w:val="28"/>
          <w:szCs w:val="28"/>
          <w:lang w:val="en-US" w:eastAsia="zh-CN" w:bidi="ar-SA"/>
        </w:rPr>
        <w:t>办理地点：</w:t>
      </w:r>
      <w:r>
        <w:rPr>
          <w:rFonts w:hint="eastAsia" w:ascii="Times New Roman" w:hAnsi="Times New Roman" w:eastAsia="仿宋GB2312" w:cs="Times New Roman"/>
          <w:b w:val="0"/>
          <w:bCs w:val="0"/>
          <w:kern w:val="2"/>
          <w:sz w:val="28"/>
          <w:szCs w:val="28"/>
          <w:lang w:val="en-US" w:eastAsia="zh-CN" w:bidi="ar-SA"/>
        </w:rPr>
        <w:t>内蒙古自治区呼和浩特市新华大街</w:t>
      </w:r>
      <w:r>
        <w:rPr>
          <w:rFonts w:hint="default" w:ascii="Times New Roman" w:hAnsi="Times New Roman" w:eastAsia="仿宋GB2312" w:cs="Times New Roman"/>
          <w:b w:val="0"/>
          <w:bCs w:val="0"/>
          <w:kern w:val="2"/>
          <w:sz w:val="28"/>
          <w:szCs w:val="28"/>
          <w:lang w:val="en-US" w:eastAsia="zh-CN" w:bidi="ar-SA"/>
        </w:rPr>
        <w:t>52</w:t>
      </w:r>
      <w:r>
        <w:rPr>
          <w:rFonts w:hint="eastAsia" w:ascii="Times New Roman" w:hAnsi="Times New Roman" w:eastAsia="仿宋GB2312" w:cs="Times New Roman"/>
          <w:b w:val="0"/>
          <w:bCs w:val="0"/>
          <w:kern w:val="2"/>
          <w:sz w:val="28"/>
          <w:szCs w:val="28"/>
          <w:lang w:val="en-US" w:eastAsia="zh-CN" w:bidi="ar-SA"/>
        </w:rPr>
        <w:t>号国家外汇管理局内蒙古分局</w:t>
      </w:r>
      <w:r>
        <w:rPr>
          <w:rFonts w:hint="eastAsia" w:eastAsia="仿宋GB2312" w:cs="Times New Roman"/>
          <w:b w:val="0"/>
          <w:bCs w:val="0"/>
          <w:kern w:val="2"/>
          <w:sz w:val="28"/>
          <w:szCs w:val="28"/>
          <w:lang w:val="en-US" w:eastAsia="zh-CN" w:bidi="ar-SA"/>
        </w:rPr>
        <w:t>外汇管理处2106</w:t>
      </w:r>
      <w:r>
        <w:rPr>
          <w:rFonts w:hint="eastAsia" w:ascii="Times New Roman" w:hAnsi="Times New Roman" w:eastAsia="仿宋GB2312" w:cs="Times New Roman"/>
          <w:b w:val="0"/>
          <w:bCs w:val="0"/>
          <w:kern w:val="2"/>
          <w:sz w:val="28"/>
          <w:szCs w:val="28"/>
          <w:lang w:val="en-US" w:eastAsia="zh-CN" w:bidi="ar-SA"/>
        </w:rPr>
        <w:t>房间。</w:t>
      </w:r>
    </w:p>
    <w:p>
      <w:pPr>
        <w:numPr>
          <w:numId w:val="0"/>
        </w:numPr>
        <w:wordWrap/>
        <w:adjustRightInd/>
        <w:snapToGrid/>
        <w:spacing w:line="540" w:lineRule="exact"/>
        <w:ind w:left="0" w:leftChars="0" w:right="0" w:firstLine="560" w:firstLineChars="200"/>
        <w:jc w:val="both"/>
        <w:textAlignment w:val="auto"/>
        <w:outlineLvl w:val="1"/>
        <w:rPr>
          <w:rFonts w:hint="eastAsia" w:ascii="Times New Roman" w:hAnsi="Times New Roman" w:eastAsia="仿宋GB2312" w:cs="Times New Roman"/>
          <w:b w:val="0"/>
          <w:bCs w:val="0"/>
          <w:kern w:val="2"/>
          <w:sz w:val="28"/>
          <w:szCs w:val="28"/>
          <w:lang w:val="en-US" w:eastAsia="zh-CN" w:bidi="ar-SA"/>
        </w:rPr>
      </w:pPr>
      <w:r>
        <w:rPr>
          <w:rFonts w:hint="eastAsia" w:ascii="Times New Roman" w:hAnsi="Times New Roman" w:eastAsia="仿宋GB2312" w:cs="Times New Roman"/>
          <w:b/>
          <w:bCs/>
          <w:kern w:val="2"/>
          <w:sz w:val="28"/>
          <w:szCs w:val="28"/>
          <w:lang w:val="en-US" w:eastAsia="zh-CN" w:bidi="ar-SA"/>
        </w:rPr>
        <w:t>3.咨询电话：</w:t>
      </w:r>
      <w:r>
        <w:rPr>
          <w:rFonts w:hint="eastAsia" w:ascii="Times New Roman" w:hAnsi="Times New Roman" w:eastAsia="仿宋GB2312" w:cs="Times New Roman"/>
          <w:b w:val="0"/>
          <w:bCs w:val="0"/>
          <w:kern w:val="2"/>
          <w:sz w:val="28"/>
          <w:szCs w:val="28"/>
          <w:lang w:val="en-US" w:eastAsia="zh-CN" w:bidi="ar-SA"/>
        </w:rPr>
        <w:t>0471-</w:t>
      </w:r>
      <w:r>
        <w:rPr>
          <w:rFonts w:hint="default" w:ascii="Times New Roman" w:hAnsi="Times New Roman" w:eastAsia="仿宋GB2312" w:cs="Times New Roman"/>
          <w:b w:val="0"/>
          <w:bCs w:val="0"/>
          <w:kern w:val="2"/>
          <w:sz w:val="28"/>
          <w:szCs w:val="28"/>
          <w:lang w:val="en-US" w:eastAsia="zh-CN" w:bidi="ar-SA"/>
        </w:rPr>
        <w:t>6650</w:t>
      </w:r>
      <w:r>
        <w:rPr>
          <w:rFonts w:hint="eastAsia" w:ascii="Times New Roman" w:hAnsi="Times New Roman" w:eastAsia="仿宋GB2312" w:cs="Times New Roman"/>
          <w:b w:val="0"/>
          <w:bCs w:val="0"/>
          <w:kern w:val="2"/>
          <w:sz w:val="28"/>
          <w:szCs w:val="28"/>
          <w:lang w:val="en-US" w:eastAsia="zh-CN" w:bidi="ar-SA"/>
        </w:rPr>
        <w:t>437。</w:t>
      </w:r>
    </w:p>
    <w:p>
      <w:pPr>
        <w:spacing w:line="540" w:lineRule="exact"/>
        <w:outlineLvl w:val="1"/>
        <w:rPr>
          <w:rFonts w:ascii="Times New Roman" w:hAnsi="Times New Roman" w:eastAsia="黑体"/>
          <w:sz w:val="28"/>
          <w:szCs w:val="28"/>
        </w:rPr>
      </w:pPr>
      <w:r>
        <w:rPr>
          <w:rFonts w:hint="eastAsia" w:ascii="Times New Roman" w:hAnsi="Times New Roman" w:eastAsia="仿宋GB2312" w:cs="Times New Roman"/>
          <w:b/>
          <w:bCs/>
          <w:kern w:val="2"/>
          <w:sz w:val="28"/>
          <w:szCs w:val="28"/>
          <w:lang w:val="en-US" w:eastAsia="zh-CN" w:bidi="ar-SA"/>
        </w:rPr>
        <w:t xml:space="preserve">    4.监督投诉电话：</w:t>
      </w:r>
      <w:r>
        <w:rPr>
          <w:rFonts w:hint="eastAsia" w:ascii="Times New Roman" w:hAnsi="Times New Roman" w:eastAsia="仿宋GB2312" w:cs="Times New Roman"/>
          <w:b w:val="0"/>
          <w:bCs w:val="0"/>
          <w:kern w:val="2"/>
          <w:sz w:val="28"/>
          <w:szCs w:val="28"/>
          <w:lang w:val="en-US" w:eastAsia="zh-CN" w:bidi="ar-SA"/>
        </w:rPr>
        <w:t>0471-6650374。</w:t>
      </w:r>
    </w:p>
    <w:p>
      <w:pPr>
        <w:widowControl/>
        <w:jc w:val="left"/>
        <w:rPr>
          <w:rFonts w:ascii="方正仿宋_GBK" w:hAnsi="方正仿宋_GBK" w:eastAsia="方正仿宋_GBK" w:cs="方正仿宋_GBK"/>
          <w:sz w:val="28"/>
          <w:szCs w:val="28"/>
        </w:rPr>
      </w:pPr>
      <w:r>
        <w:rPr>
          <w:rFonts w:ascii="方正仿宋_GBK" w:hAnsi="方正仿宋_GBK" w:eastAsia="方正仿宋_GBK" w:cs="方正仿宋_GBK"/>
          <w:sz w:val="28"/>
          <w:szCs w:val="28"/>
        </w:rPr>
        <w:br w:type="page"/>
      </w:r>
    </w:p>
    <w:p>
      <w:pPr>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省级分局和计划单列市分局办理的个人携带</w:t>
      </w:r>
    </w:p>
    <w:p>
      <w:pPr>
        <w:jc w:val="center"/>
        <w:rPr>
          <w:rFonts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规定金额以上外币现钞出境核准补办</w:t>
      </w:r>
    </w:p>
    <w:p>
      <w:pPr>
        <w:jc w:val="center"/>
        <w:rPr>
          <w:rFonts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【00017110600202】</w:t>
      </w:r>
    </w:p>
    <w:p>
      <w:pPr>
        <w:numPr>
          <w:ilvl w:val="0"/>
          <w:numId w:val="3"/>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基本要素</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行政许可事项名称</w:t>
      </w:r>
      <w:r>
        <w:rPr>
          <w:rFonts w:hint="eastAsia" w:ascii="Times New Roman" w:hAnsi="Times New Roman" w:eastAsia="仿宋GB2312"/>
          <w:b/>
          <w:bCs/>
          <w:sz w:val="28"/>
          <w:szCs w:val="28"/>
        </w:rPr>
        <w:t>及编码</w:t>
      </w:r>
    </w:p>
    <w:p>
      <w:pPr>
        <w:spacing w:line="360" w:lineRule="auto"/>
        <w:ind w:firstLine="560" w:firstLineChars="200"/>
        <w:rPr>
          <w:rFonts w:ascii="仿宋" w:hAnsi="仿宋" w:eastAsia="仿宋" w:cs="仿宋"/>
          <w:sz w:val="28"/>
          <w:szCs w:val="28"/>
        </w:rPr>
      </w:pPr>
      <w:r>
        <w:rPr>
          <w:rFonts w:hint="eastAsia" w:ascii="方正仿宋_GBK" w:hAnsi="方正仿宋_GBK" w:eastAsia="方正仿宋_GBK" w:cs="方正仿宋_GBK"/>
          <w:sz w:val="28"/>
          <w:szCs w:val="28"/>
        </w:rPr>
        <w:t>外币现钞提取、出境携带、跨境调运核准【00017110600Y】</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行政许可</w:t>
      </w:r>
      <w:r>
        <w:rPr>
          <w:rFonts w:hint="eastAsia" w:ascii="Times New Roman" w:hAnsi="Times New Roman" w:eastAsia="仿宋GB2312"/>
          <w:b/>
          <w:bCs/>
          <w:sz w:val="28"/>
          <w:szCs w:val="28"/>
        </w:rPr>
        <w:t>事项子项名称及编码</w:t>
      </w:r>
    </w:p>
    <w:p>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省级分局和计划单列市分局办理的个人携带规定金额以上外币现钞出境核准【000171106002】</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3.行政许可事项业务办理项名称及编码</w:t>
      </w:r>
    </w:p>
    <w:p>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省级分局和计划单列市分局办理的个人携带规定金额以上外币现钞出境核准补办(00017110600202)</w:t>
      </w:r>
    </w:p>
    <w:p>
      <w:pPr>
        <w:spacing w:line="360" w:lineRule="auto"/>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4.设定依据</w:t>
      </w:r>
    </w:p>
    <w:p>
      <w:pPr>
        <w:spacing w:line="540" w:lineRule="exact"/>
        <w:ind w:firstLine="560" w:firstLineChars="200"/>
        <w:outlineLvl w:val="2"/>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（1）《国务院对确需保留的行政审批项目设定行政许可的决定》</w:t>
      </w:r>
    </w:p>
    <w:p>
      <w:pPr>
        <w:spacing w:line="540" w:lineRule="exact"/>
        <w:ind w:firstLine="560" w:firstLineChars="200"/>
        <w:outlineLvl w:val="2"/>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（2）《中华人民共和国外汇管理条例》第十五条</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5.实施依据</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（1）《个人外汇管理办法》（中国人民银行令2006年第3号）第三十三条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（2）《经常项目外汇业务指引（2020年版）》（汇发〔2020〕14号文印发）第八十九条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（3）《携带外币现钞出入境管理暂行办法》（汇发〔2003〕102号文印发）第二条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（4）《国家外汇管理局行政许可实施办法》（国家外汇管理局公告2021年第1号）</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6.监管依据：</w:t>
      </w:r>
      <w:r>
        <w:rPr>
          <w:rFonts w:ascii="方正仿宋_GBK" w:hAnsi="方正仿宋_GBK" w:eastAsia="方正仿宋_GBK" w:cs="方正仿宋_GBK"/>
          <w:sz w:val="28"/>
          <w:szCs w:val="28"/>
        </w:rPr>
        <w:t>《中华人民共和国外汇管理条例》</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实施机关</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国家外汇局省级分局和计划单列市分局</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审批层级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国家级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9.行使</w:t>
      </w:r>
      <w:r>
        <w:rPr>
          <w:rFonts w:ascii="Times New Roman" w:hAnsi="Times New Roman" w:eastAsia="仿宋GB2312"/>
          <w:b/>
          <w:bCs/>
          <w:sz w:val="28"/>
          <w:szCs w:val="28"/>
        </w:rPr>
        <w:t>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省级/直属</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是否由审批机关受理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11.</w:t>
      </w:r>
      <w:r>
        <w:rPr>
          <w:rFonts w:ascii="Times New Roman" w:hAnsi="Times New Roman" w:eastAsia="仿宋GB2312"/>
          <w:b/>
          <w:bCs/>
          <w:sz w:val="28"/>
          <w:szCs w:val="28"/>
        </w:rPr>
        <w:t>受理层级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省级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12.</w:t>
      </w:r>
      <w:r>
        <w:rPr>
          <w:rFonts w:ascii="Times New Roman" w:hAnsi="Times New Roman" w:eastAsia="仿宋GB2312"/>
          <w:b/>
          <w:bCs/>
          <w:sz w:val="28"/>
          <w:szCs w:val="28"/>
        </w:rPr>
        <w:t>是否存在初审环节</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highlight w:val="yellow"/>
        </w:rPr>
      </w:pPr>
      <w:r>
        <w:rPr>
          <w:rFonts w:hint="eastAsia" w:ascii="Times New Roman" w:hAnsi="Times New Roman" w:eastAsia="仿宋GB2312"/>
          <w:b/>
          <w:bCs/>
          <w:sz w:val="28"/>
          <w:szCs w:val="28"/>
        </w:rPr>
        <w:t>13.</w:t>
      </w:r>
      <w:r>
        <w:rPr>
          <w:rFonts w:ascii="Times New Roman" w:hAnsi="Times New Roman" w:eastAsia="仿宋GB2312"/>
          <w:b/>
          <w:bCs/>
          <w:sz w:val="28"/>
          <w:szCs w:val="28"/>
        </w:rPr>
        <w:t>初审层级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jc w:val="left"/>
        <w:rPr>
          <w:rFonts w:ascii="Times New Roman" w:hAnsi="Times New Roman" w:eastAsia="仿宋GB2312"/>
          <w:sz w:val="28"/>
          <w:szCs w:val="28"/>
        </w:rPr>
      </w:pPr>
      <w:r>
        <w:rPr>
          <w:rFonts w:hint="eastAsia" w:ascii="Times New Roman" w:hAnsi="Times New Roman" w:eastAsia="仿宋GB2312"/>
          <w:b/>
          <w:bCs/>
          <w:sz w:val="28"/>
          <w:szCs w:val="28"/>
        </w:rPr>
        <w:t>14.</w:t>
      </w:r>
      <w:r>
        <w:rPr>
          <w:rFonts w:ascii="Times New Roman" w:hAnsi="Times New Roman" w:eastAsia="仿宋GB2312"/>
          <w:b/>
          <w:bCs/>
          <w:sz w:val="28"/>
          <w:szCs w:val="28"/>
        </w:rPr>
        <w:t>对应政务服务事项国家级基本目录名称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个人外币现钞携带出境审核（一人携带超过等值10000美元现钞出境）</w:t>
      </w:r>
    </w:p>
    <w:p>
      <w:pPr>
        <w:numPr>
          <w:ilvl w:val="0"/>
          <w:numId w:val="3"/>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行政许可事项类型</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条件型</w:t>
      </w:r>
    </w:p>
    <w:p>
      <w:pPr>
        <w:numPr>
          <w:ilvl w:val="0"/>
          <w:numId w:val="3"/>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行政许可条件</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1.准予行政许可的条件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《携带外汇出境许可证》遗失或《携带外汇出境许可证》逾期。</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规定行政许可条件的依据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《经常项目外汇业务指引（2020年版）》（汇发〔2020〕14号文印发）第八十九条</w:t>
      </w:r>
      <w:r>
        <w:rPr>
          <w:rFonts w:hint="eastAsia" w:ascii="方正仿宋_GBK" w:hAnsi="方正仿宋_GBK" w:eastAsia="方正仿宋_GBK" w:cs="方正仿宋_GBK"/>
          <w:sz w:val="28"/>
          <w:szCs w:val="28"/>
        </w:rPr>
        <w:t xml:space="preserve"> </w:t>
      </w:r>
      <w:r>
        <w:rPr>
          <w:rFonts w:ascii="方正仿宋_GBK" w:hAnsi="方正仿宋_GBK" w:eastAsia="方正仿宋_GBK" w:cs="方正仿宋_GBK"/>
          <w:sz w:val="28"/>
          <w:szCs w:val="28"/>
        </w:rPr>
        <w:t>个人遗失或逾期补办《携带外汇出境许可证》的，按照“谁签发、谁补办”原则，在出境前持补办申请向原签发银行或外汇局提出申请。</w:t>
      </w:r>
    </w:p>
    <w:p>
      <w:pPr>
        <w:numPr>
          <w:ilvl w:val="0"/>
          <w:numId w:val="3"/>
        </w:numPr>
        <w:spacing w:line="540" w:lineRule="exact"/>
        <w:outlineLvl w:val="1"/>
        <w:rPr>
          <w:rFonts w:ascii="Times New Roman" w:hAnsi="Times New Roman" w:eastAsia="黑体"/>
          <w:sz w:val="28"/>
          <w:szCs w:val="28"/>
        </w:rPr>
      </w:pPr>
      <w:r>
        <w:rPr>
          <w:rFonts w:ascii="Times New Roman" w:hAnsi="Times New Roman" w:eastAsia="黑体"/>
          <w:sz w:val="28"/>
          <w:szCs w:val="28"/>
        </w:rPr>
        <w:t>行政许可服务对象类型</w:t>
      </w:r>
      <w:r>
        <w:rPr>
          <w:rFonts w:hint="eastAsia" w:ascii="Times New Roman" w:hAnsi="Times New Roman" w:eastAsia="黑体"/>
          <w:sz w:val="28"/>
          <w:szCs w:val="28"/>
        </w:rPr>
        <w:t>与改革举措</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1.服务对象类型：</w:t>
      </w:r>
      <w:r>
        <w:rPr>
          <w:rFonts w:ascii="方正仿宋_GBK" w:hAnsi="方正仿宋_GBK" w:eastAsia="方正仿宋_GBK" w:cs="方正仿宋_GBK"/>
          <w:sz w:val="28"/>
          <w:szCs w:val="28"/>
        </w:rPr>
        <w:t>自然人</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2.是否为涉企许可事项：</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3.涉企经营许可事项名称：</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4.许可证件名称：</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5.改革方式：</w:t>
      </w:r>
      <w:r>
        <w:rPr>
          <w:rFonts w:ascii="方正仿宋_GBK" w:hAnsi="方正仿宋_GBK" w:eastAsia="方正仿宋_GBK" w:cs="方正仿宋_GBK"/>
          <w:sz w:val="28"/>
          <w:szCs w:val="28"/>
        </w:rPr>
        <w:t>无</w:t>
      </w:r>
    </w:p>
    <w:p>
      <w:pPr>
        <w:spacing w:line="54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6.具体改革举措：</w:t>
      </w:r>
      <w:r>
        <w:rPr>
          <w:rFonts w:ascii="方正仿宋_GBK" w:hAnsi="方正仿宋_GBK" w:eastAsia="方正仿宋_GBK" w:cs="方正仿宋_GBK"/>
          <w:sz w:val="28"/>
          <w:szCs w:val="28"/>
        </w:rPr>
        <w:t>无</w:t>
      </w:r>
    </w:p>
    <w:p>
      <w:pPr>
        <w:spacing w:line="54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7.加强事中事后监管措施</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（1）开展“双随机、一公开”监管，依法查处违规行为，适时公开相关案例。（2）依法及时处理投诉举报。（3）开展数据统计与监测，掌握外汇业务情况。</w:t>
      </w:r>
    </w:p>
    <w:p>
      <w:pPr>
        <w:numPr>
          <w:ilvl w:val="0"/>
          <w:numId w:val="3"/>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申请材料</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1.申请材料名称</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补办申请原件1份。</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规定申请材料的依据</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《经常项目外汇业务指引（2020年版）》（汇发〔2020〕14号文印发）第八十九条 个人遗失或逾期补办《携带外汇出境许可证》的，按照“谁签发、谁补办”原则，在出境前持补办申请向原签发银行或外汇局提出申请。</w:t>
      </w:r>
    </w:p>
    <w:p>
      <w:pPr>
        <w:numPr>
          <w:ilvl w:val="0"/>
          <w:numId w:val="3"/>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中介服务</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1.有无法定中介服务事项：</w:t>
      </w:r>
      <w:r>
        <w:rPr>
          <w:rFonts w:ascii="方正仿宋_GBK" w:hAnsi="方正仿宋_GBK" w:eastAsia="方正仿宋_GBK" w:cs="方正仿宋_GBK"/>
          <w:sz w:val="28"/>
          <w:szCs w:val="28"/>
        </w:rPr>
        <w:t>无</w:t>
      </w:r>
    </w:p>
    <w:p>
      <w:pPr>
        <w:spacing w:line="60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中介服务事项名称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设定中介服务事项的依据</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提供中介服务的机构</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中介服务事项的收费性质</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numPr>
          <w:ilvl w:val="0"/>
          <w:numId w:val="3"/>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审批程序</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1.办理行政许可的程序环节</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申请人申请；</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审批机构受理/不予受理；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审批机构审查；</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决定作出许可决定书/不予许可决定书</w:t>
      </w:r>
      <w:r>
        <w:rPr>
          <w:rFonts w:hint="eastAsia" w:ascii="方正仿宋_GBK" w:hAnsi="方正仿宋_GBK" w:eastAsia="方正仿宋_GBK" w:cs="方正仿宋_GBK"/>
          <w:sz w:val="28"/>
          <w:szCs w:val="28"/>
        </w:rPr>
        <w:t>。</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2.规定行政许可程序的依据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《国家外汇管理局行政许可实施办法》（国家外汇管理局公告2021年第1号）第十条、第十四条</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第十条</w:t>
      </w:r>
      <w:r>
        <w:rPr>
          <w:rFonts w:hint="eastAsia" w:ascii="方正仿宋_GBK" w:hAnsi="方正仿宋_GBK" w:eastAsia="方正仿宋_GBK" w:cs="方正仿宋_GBK"/>
          <w:sz w:val="28"/>
          <w:szCs w:val="28"/>
        </w:rPr>
        <w:t xml:space="preserve"> </w:t>
      </w:r>
      <w:r>
        <w:rPr>
          <w:rFonts w:ascii="方正仿宋_GBK" w:hAnsi="方正仿宋_GBK" w:eastAsia="方正仿宋_GBK" w:cs="方正仿宋_GBK"/>
          <w:sz w:val="28"/>
          <w:szCs w:val="28"/>
        </w:rPr>
        <w:t>外汇局收到行政许可申请后，应区分下列情况分别作出处理：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1.申请事项属于本局职责范围，但依法不需要取得行政许可的，应即时告知申请人不受理，出具不予受理行政许可通知书；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2.申请事项不属于本局职责范围，应即时作出不予受理的决定，出具不予受理行政许可通知书，并告知申请人向有关行政机关申请；</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申请事项属于本局职责范围，但申请材料不齐全或不符合法定形式的，应当场或在收到申请材料之日起5个工作日内作出要求申请人补正材料的决定，出具补正告知书，一次性告知申请人需要补正的全部内容；逾期不告知的，自收到申请材料之日起即为受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申请人拒不补正，或者自补正告知书送达之日起30日内未能提交全部且符合法定形式的补正材料的，应不予受理，出具不予受理行政许可通知书；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申请材料存在文字笔误等可当场更正的错误的，应允许申请人当场更正，并告知其在修改处签字或盖章确认；</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4.申请事项属于本局职责范围，申请材料齐全、符合法定形式，或者申请人按照要求提交全部补正申请材料的，应受理行政许可申请，出具行政许可受理通知书。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第十四条</w:t>
      </w:r>
      <w:r>
        <w:rPr>
          <w:rFonts w:hint="eastAsia" w:ascii="方正仿宋_GBK" w:hAnsi="方正仿宋_GBK" w:eastAsia="方正仿宋_GBK" w:cs="方正仿宋_GBK"/>
          <w:sz w:val="28"/>
          <w:szCs w:val="28"/>
        </w:rPr>
        <w:t xml:space="preserve"> </w:t>
      </w:r>
      <w:r>
        <w:rPr>
          <w:rFonts w:ascii="方正仿宋_GBK" w:hAnsi="方正仿宋_GBK" w:eastAsia="方正仿宋_GBK" w:cs="方正仿宋_GBK"/>
          <w:sz w:val="28"/>
          <w:szCs w:val="28"/>
        </w:rPr>
        <w:t>外汇局对行政许可申请审查后，应区分下列情况分别作出处理：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1.申请符合法定条件、拟准予行政许可的，应出具准予行政许可的书面决定。准予行政许可的书面决定应载明名称、出具单位、被许可人姓名或名称、行政许可事项、颁发日期、有效期（如有）等；</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2.申请不符合法定条件、拟不予行政许可的，应出具不予行政许可决定书，并说明不予行政许可的理由，告知申请人享有依法申请行政复议的权利。</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是否需要现场勘验</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是否需要组织听证</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是否需要招标、拍卖、挂牌交易</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6.</w:t>
      </w:r>
      <w:r>
        <w:rPr>
          <w:rFonts w:ascii="Times New Roman" w:hAnsi="Times New Roman" w:eastAsia="仿宋GB2312"/>
          <w:b/>
          <w:bCs/>
          <w:sz w:val="28"/>
          <w:szCs w:val="28"/>
        </w:rPr>
        <w:t>是否需要检验、检测、检疫</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是否需要鉴定</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是否需要专家评审</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w:t>
      </w:r>
      <w:r>
        <w:rPr>
          <w:rFonts w:ascii="Times New Roman" w:hAnsi="Times New Roman" w:eastAsia="仿宋GB2312"/>
          <w:b/>
          <w:bCs/>
          <w:sz w:val="28"/>
          <w:szCs w:val="28"/>
        </w:rPr>
        <w:t>是否需要向社会公示</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是否实行告知承诺办理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11.审批机关是否委托服务机构开展技术性服务：</w:t>
      </w:r>
      <w:r>
        <w:rPr>
          <w:rFonts w:hint="eastAsia" w:ascii="方正仿宋_GBK" w:hAnsi="方正仿宋_GBK" w:eastAsia="方正仿宋_GBK" w:cs="方正仿宋_GBK"/>
          <w:sz w:val="28"/>
          <w:szCs w:val="28"/>
        </w:rPr>
        <w:t>否</w:t>
      </w:r>
    </w:p>
    <w:p>
      <w:pPr>
        <w:numPr>
          <w:ilvl w:val="0"/>
          <w:numId w:val="3"/>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受理和审批时限</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1.承诺受理时限：</w:t>
      </w:r>
      <w:r>
        <w:rPr>
          <w:rFonts w:ascii="方正仿宋_GBK" w:hAnsi="方正仿宋_GBK" w:eastAsia="方正仿宋_GBK" w:cs="方正仿宋_GBK"/>
          <w:sz w:val="28"/>
          <w:szCs w:val="28"/>
        </w:rPr>
        <w:t>5个工作日</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2.法定审批时限：</w:t>
      </w:r>
      <w:r>
        <w:rPr>
          <w:rFonts w:hint="eastAsia" w:ascii="方正仿宋_GBK" w:hAnsi="方正仿宋_GBK" w:eastAsia="方正仿宋_GBK" w:cs="方正仿宋_GBK"/>
          <w:sz w:val="28"/>
          <w:szCs w:val="28"/>
        </w:rPr>
        <w:t>20个工作日</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3.规定法定审批时限依据</w:t>
      </w:r>
    </w:p>
    <w:p>
      <w:pPr>
        <w:spacing w:line="600" w:lineRule="exact"/>
        <w:ind w:firstLine="560" w:firstLineChars="200"/>
        <w:rPr>
          <w:rFonts w:ascii="Times New Roman" w:hAnsi="Times New Roman" w:eastAsia="仿宋GB2312"/>
          <w:sz w:val="32"/>
          <w:szCs w:val="32"/>
        </w:rPr>
      </w:pPr>
      <w:r>
        <w:rPr>
          <w:rFonts w:ascii="方正仿宋_GBK" w:hAnsi="方正仿宋_GBK" w:eastAsia="方正仿宋_GBK" w:cs="方正仿宋_GBK"/>
          <w:sz w:val="28"/>
          <w:szCs w:val="28"/>
        </w:rPr>
        <w:t>《国家外汇管理局行政许可实施办法》（国家外汇管理局公告2021年第1号）第十五条</w:t>
      </w:r>
      <w:r>
        <w:rPr>
          <w:rFonts w:hint="eastAsia" w:ascii="方正仿宋_GBK" w:hAnsi="方正仿宋_GBK" w:eastAsia="方正仿宋_GBK" w:cs="方正仿宋_GBK"/>
          <w:sz w:val="28"/>
          <w:szCs w:val="28"/>
        </w:rPr>
        <w:t xml:space="preserve"> </w:t>
      </w:r>
      <w:r>
        <w:rPr>
          <w:rFonts w:ascii="方正仿宋_GBK" w:hAnsi="方正仿宋_GBK" w:eastAsia="方正仿宋_GBK" w:cs="方正仿宋_GBK"/>
          <w:sz w:val="28"/>
          <w:szCs w:val="28"/>
        </w:rPr>
        <w:t>外汇局应根据以下要求确保行政许可依法按时完成：</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1.能当场作出决定的，应当场作出行政许可决定。当场作出行政许可决定的，可不出具行政许可受理通知书；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不能当场作出决定的，应自受理之日起20个工作日内作出决定；20个工作日内不能作出决定的，经本级外汇局局长或者主管副局长批准，可延长10个工作日，并向申请人出具延长行政许可办理期限通知书，说明延长期限的理由。行政许可办理期限只能延长一次。</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外汇局征求其他部门意见的时间计算在以上办理时限内；依法需要听证、检验、检测、鉴定、专家评审等的时间，不计算在上述办理时限内。</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各级外汇局对行政许可办理时限具有对外承诺的，应按照其承诺的时限完成；对外承诺的时限应短于20个工作日</w:t>
      </w:r>
      <w:r>
        <w:rPr>
          <w:rFonts w:hint="eastAsia" w:ascii="方正仿宋_GBK" w:hAnsi="方正仿宋_GBK" w:eastAsia="方正仿宋_GBK" w:cs="方正仿宋_GBK"/>
          <w:sz w:val="28"/>
          <w:szCs w:val="28"/>
        </w:rPr>
        <w:t>。</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4.承诺审批时限：</w:t>
      </w:r>
      <w:r>
        <w:rPr>
          <w:rFonts w:ascii="方正仿宋_GBK" w:hAnsi="方正仿宋_GBK" w:eastAsia="方正仿宋_GBK" w:cs="方正仿宋_GBK"/>
          <w:sz w:val="28"/>
          <w:szCs w:val="28"/>
        </w:rPr>
        <w:t>20个工作日</w:t>
      </w:r>
    </w:p>
    <w:p>
      <w:pPr>
        <w:numPr>
          <w:ilvl w:val="0"/>
          <w:numId w:val="3"/>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收费</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1.办理行政许可是否收费：</w:t>
      </w:r>
      <w:r>
        <w:rPr>
          <w:rFonts w:hint="eastAsia" w:ascii="方正仿宋_GBK" w:hAnsi="方正仿宋_GBK" w:eastAsia="方正仿宋_GBK" w:cs="方正仿宋_GBK"/>
          <w:sz w:val="28"/>
          <w:szCs w:val="28"/>
        </w:rPr>
        <w:t>否</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2.收费项目的名称、收费项目的标准、设定收费项目的依据、规定收费标准的依据：</w:t>
      </w:r>
      <w:r>
        <w:rPr>
          <w:rFonts w:hint="eastAsia" w:ascii="方正仿宋_GBK" w:hAnsi="方正仿宋_GBK" w:eastAsia="方正仿宋_GBK" w:cs="方正仿宋_GBK"/>
          <w:sz w:val="28"/>
          <w:szCs w:val="28"/>
        </w:rPr>
        <w:t>无</w:t>
      </w:r>
    </w:p>
    <w:p>
      <w:pPr>
        <w:numPr>
          <w:ilvl w:val="0"/>
          <w:numId w:val="3"/>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行政许可证件</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1.审批结果类型：</w:t>
      </w:r>
      <w:r>
        <w:rPr>
          <w:rFonts w:ascii="方正仿宋_GBK" w:hAnsi="方正仿宋_GBK" w:eastAsia="方正仿宋_GBK" w:cs="方正仿宋_GBK"/>
          <w:sz w:val="28"/>
          <w:szCs w:val="28"/>
        </w:rPr>
        <w:t>批文</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2.审批结果名称：</w:t>
      </w:r>
      <w:r>
        <w:rPr>
          <w:rFonts w:hint="eastAsia" w:ascii="方正仿宋_GBK" w:hAnsi="方正仿宋_GBK" w:eastAsia="方正仿宋_GBK" w:cs="方正仿宋_GBK"/>
          <w:sz w:val="28"/>
          <w:szCs w:val="28"/>
        </w:rPr>
        <w:t>《携带外汇出境许可证》</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3.审批结果的有效期限：</w:t>
      </w:r>
      <w:r>
        <w:rPr>
          <w:rFonts w:hint="eastAsia" w:ascii="方正仿宋_GBK" w:hAnsi="方正仿宋_GBK" w:eastAsia="方正仿宋_GBK" w:cs="方正仿宋_GBK"/>
          <w:sz w:val="28"/>
          <w:szCs w:val="28"/>
        </w:rPr>
        <w:t>30天</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4.规定审批结果有效期限的依据</w:t>
      </w:r>
    </w:p>
    <w:p>
      <w:pPr>
        <w:spacing w:line="600" w:lineRule="exact"/>
        <w:ind w:firstLine="560" w:firstLineChars="200"/>
        <w:rPr>
          <w:rFonts w:ascii="Times New Roman" w:hAnsi="Times New Roman" w:eastAsia="仿宋GB2312"/>
          <w:sz w:val="32"/>
          <w:szCs w:val="32"/>
        </w:rPr>
      </w:pPr>
      <w:r>
        <w:rPr>
          <w:rFonts w:hint="eastAsia" w:ascii="方正仿宋_GBK" w:hAnsi="方正仿宋_GBK" w:eastAsia="方正仿宋_GBK" w:cs="方正仿宋_GBK"/>
          <w:sz w:val="28"/>
          <w:szCs w:val="28"/>
        </w:rPr>
        <w:t>《携带外币现钞出入境管理暂行办法》的通知（汇发〔2003〕102号文印发）第十一条 《携带证》应盖有“国家外汇管理局携带外汇出境核准章”或“银行携带外汇出境专用章”，并自签发之日起30天内一次使用有效。</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5.是否需要办理审批结果变更手续：</w:t>
      </w:r>
      <w:r>
        <w:rPr>
          <w:rFonts w:ascii="方正仿宋_GBK" w:hAnsi="方正仿宋_GBK" w:eastAsia="方正仿宋_GBK" w:cs="方正仿宋_GBK"/>
          <w:sz w:val="28"/>
          <w:szCs w:val="28"/>
        </w:rPr>
        <w:t>否</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6.办理审批结果变更手续的要求：</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7.是否需要办理审批结果延续手续：</w:t>
      </w:r>
      <w:r>
        <w:rPr>
          <w:rFonts w:hint="eastAsia" w:ascii="方正仿宋_GBK" w:hAnsi="方正仿宋_GBK" w:eastAsia="方正仿宋_GBK" w:cs="方正仿宋_GBK"/>
          <w:sz w:val="28"/>
          <w:szCs w:val="28"/>
        </w:rPr>
        <w:t>否</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8.办理审批结果延续手续的要求：</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9.审批结果的有效地域范围：</w:t>
      </w:r>
      <w:r>
        <w:rPr>
          <w:rFonts w:hint="eastAsia" w:ascii="方正仿宋_GBK" w:hAnsi="方正仿宋_GBK" w:eastAsia="方正仿宋_GBK" w:cs="方正仿宋_GBK"/>
          <w:sz w:val="28"/>
          <w:szCs w:val="28"/>
        </w:rPr>
        <w:t>全国</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10.规定审批结果有效地域范围的依据：</w:t>
      </w:r>
      <w:r>
        <w:rPr>
          <w:rFonts w:hint="eastAsia" w:ascii="方正仿宋_GBK" w:hAnsi="方正仿宋_GBK" w:eastAsia="方正仿宋_GBK" w:cs="方正仿宋_GBK"/>
          <w:sz w:val="28"/>
          <w:szCs w:val="28"/>
        </w:rPr>
        <w:t>无</w:t>
      </w:r>
    </w:p>
    <w:p>
      <w:pPr>
        <w:numPr>
          <w:ilvl w:val="0"/>
          <w:numId w:val="3"/>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行政许可数量限制</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1.有无行政许可数量限制：</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2.公布数量限制的方式：</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3.公布数量限制的周期：</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4.在数量限制条件下实施行政许可的方式：</w:t>
      </w:r>
      <w:r>
        <w:rPr>
          <w:rFonts w:hint="eastAsia" w:ascii="方正仿宋_GBK" w:hAnsi="方正仿宋_GBK" w:eastAsia="方正仿宋_GBK" w:cs="方正仿宋_GBK"/>
          <w:sz w:val="28"/>
          <w:szCs w:val="28"/>
        </w:rPr>
        <w:t>无</w:t>
      </w:r>
    </w:p>
    <w:p>
      <w:pPr>
        <w:spacing w:line="600" w:lineRule="exact"/>
        <w:ind w:firstLine="562" w:firstLineChars="200"/>
        <w:jc w:val="left"/>
        <w:rPr>
          <w:rFonts w:ascii="Times New Roman" w:hAnsi="Times New Roman" w:eastAsia="仿宋GB2312"/>
          <w:b/>
          <w:bCs/>
          <w:sz w:val="28"/>
          <w:szCs w:val="28"/>
        </w:rPr>
      </w:pPr>
      <w:r>
        <w:rPr>
          <w:rFonts w:hint="eastAsia" w:ascii="Times New Roman" w:hAnsi="Times New Roman" w:eastAsia="仿宋GB2312"/>
          <w:b/>
          <w:bCs/>
          <w:sz w:val="28"/>
          <w:szCs w:val="28"/>
        </w:rPr>
        <w:t>5.规定在数量限制条件下实施行政许可方式的依据：</w:t>
      </w:r>
      <w:r>
        <w:rPr>
          <w:rFonts w:hint="eastAsia" w:ascii="方正仿宋_GBK" w:hAnsi="方正仿宋_GBK" w:eastAsia="方正仿宋_GBK" w:cs="方正仿宋_GBK"/>
          <w:sz w:val="28"/>
          <w:szCs w:val="28"/>
        </w:rPr>
        <w:t>无</w:t>
      </w:r>
    </w:p>
    <w:p>
      <w:pPr>
        <w:numPr>
          <w:ilvl w:val="0"/>
          <w:numId w:val="3"/>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行政许可后年检</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1.有无年检要求：</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2.设定年检要求的依据：</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3.年检周期：</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4.年检是否要求报送材料：</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5.年检报送材料名称：</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6.年检是否收费：</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7.年检收费项目的名称、年检收费项目的标准、设定年检收费项目的依据、规定年检项目收费标准的依据：</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8.通过年检的证明或者标志：</w:t>
      </w:r>
      <w:r>
        <w:rPr>
          <w:rFonts w:hint="eastAsia" w:ascii="方正仿宋_GBK" w:hAnsi="方正仿宋_GBK" w:eastAsia="方正仿宋_GBK" w:cs="方正仿宋_GBK"/>
          <w:sz w:val="28"/>
          <w:szCs w:val="28"/>
        </w:rPr>
        <w:t>无</w:t>
      </w:r>
    </w:p>
    <w:p>
      <w:pPr>
        <w:numPr>
          <w:ilvl w:val="0"/>
          <w:numId w:val="3"/>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行政许可后年报</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有无年报要求</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年报报送材料名称</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设定年报要求的依据</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年报周期</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numPr>
          <w:ilvl w:val="0"/>
          <w:numId w:val="3"/>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监管主体</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国家外汇局</w:t>
      </w:r>
      <w:r>
        <w:rPr>
          <w:rFonts w:hint="eastAsia" w:ascii="方正仿宋_GBK" w:hAnsi="方正仿宋_GBK" w:eastAsia="方正仿宋_GBK" w:cs="方正仿宋_GBK"/>
          <w:sz w:val="28"/>
          <w:szCs w:val="28"/>
          <w:lang w:val="en-US" w:eastAsia="zh-CN"/>
        </w:rPr>
        <w:t>内蒙古</w:t>
      </w:r>
      <w:r>
        <w:rPr>
          <w:rFonts w:hint="eastAsia" w:ascii="方正仿宋_GBK" w:hAnsi="方正仿宋_GBK" w:eastAsia="方正仿宋_GBK" w:cs="方正仿宋_GBK"/>
          <w:sz w:val="28"/>
          <w:szCs w:val="28"/>
        </w:rPr>
        <w:t>分局</w:t>
      </w:r>
    </w:p>
    <w:p>
      <w:pPr>
        <w:numPr>
          <w:numId w:val="0"/>
        </w:numPr>
        <w:spacing w:line="540" w:lineRule="exact"/>
        <w:outlineLvl w:val="1"/>
        <w:rPr>
          <w:rFonts w:hint="eastAsia" w:ascii="Times New Roman" w:hAnsi="Times New Roman" w:eastAsia="黑体"/>
          <w:sz w:val="28"/>
          <w:szCs w:val="28"/>
          <w:lang w:val="en-US" w:eastAsia="zh-CN"/>
        </w:rPr>
      </w:pPr>
      <w:r>
        <w:rPr>
          <w:rFonts w:hint="eastAsia" w:ascii="Times New Roman" w:hAnsi="Times New Roman" w:eastAsia="黑体"/>
          <w:sz w:val="28"/>
          <w:szCs w:val="28"/>
        </w:rPr>
        <w:t>十五、</w:t>
      </w:r>
      <w:r>
        <w:rPr>
          <w:rFonts w:hint="eastAsia" w:ascii="Times New Roman" w:hAnsi="Times New Roman" w:eastAsia="黑体"/>
          <w:sz w:val="28"/>
          <w:szCs w:val="28"/>
          <w:lang w:val="en-US" w:eastAsia="zh-CN"/>
        </w:rPr>
        <w:t>咨询途径、办公地址和时间：</w:t>
      </w:r>
    </w:p>
    <w:p>
      <w:pPr>
        <w:pStyle w:val="6"/>
        <w:widowControl/>
        <w:wordWrap/>
        <w:autoSpaceDN w:val="0"/>
        <w:adjustRightInd/>
        <w:snapToGrid/>
        <w:spacing w:before="0" w:beforeLines="0" w:beforeAutospacing="0" w:after="0" w:afterLines="0" w:afterAutospacing="0"/>
        <w:ind w:left="0" w:leftChars="0" w:right="0" w:firstLine="560" w:firstLineChars="200"/>
        <w:jc w:val="both"/>
        <w:textAlignment w:val="auto"/>
        <w:rPr>
          <w:rFonts w:hint="eastAsia" w:ascii="Times New Roman" w:hAnsi="Times New Roman" w:eastAsia="仿宋GB2312" w:cs="Times New Roman"/>
          <w:b/>
          <w:bCs/>
          <w:kern w:val="2"/>
          <w:sz w:val="28"/>
          <w:szCs w:val="28"/>
          <w:lang w:val="en-US" w:eastAsia="zh-CN" w:bidi="ar-SA"/>
        </w:rPr>
      </w:pPr>
      <w:r>
        <w:rPr>
          <w:rFonts w:hint="eastAsia" w:eastAsia="仿宋GB2312" w:cs="Times New Roman"/>
          <w:b/>
          <w:bCs/>
          <w:kern w:val="2"/>
          <w:sz w:val="28"/>
          <w:szCs w:val="28"/>
          <w:lang w:val="en-US" w:eastAsia="zh-CN" w:bidi="ar-SA"/>
        </w:rPr>
        <w:t>1.</w:t>
      </w:r>
      <w:r>
        <w:rPr>
          <w:rFonts w:hint="eastAsia" w:ascii="Times New Roman" w:hAnsi="Times New Roman" w:eastAsia="仿宋GB2312" w:cs="Times New Roman"/>
          <w:b/>
          <w:bCs/>
          <w:kern w:val="2"/>
          <w:sz w:val="28"/>
          <w:szCs w:val="28"/>
          <w:lang w:val="en-US" w:eastAsia="zh-CN" w:bidi="ar-SA"/>
        </w:rPr>
        <w:t>办理时间：</w:t>
      </w:r>
      <w:r>
        <w:rPr>
          <w:rFonts w:hint="eastAsia" w:ascii="Times New Roman" w:hAnsi="Times New Roman" w:eastAsia="仿宋GB2312" w:cs="Times New Roman"/>
          <w:b w:val="0"/>
          <w:bCs w:val="0"/>
          <w:kern w:val="2"/>
          <w:sz w:val="28"/>
          <w:szCs w:val="28"/>
          <w:lang w:val="en-US" w:eastAsia="zh-CN" w:bidi="ar-SA"/>
        </w:rPr>
        <w:t>周一至周五（节假日除外），</w:t>
      </w:r>
      <w:r>
        <w:rPr>
          <w:rFonts w:hint="default" w:ascii="Times New Roman" w:hAnsi="Times New Roman" w:eastAsia="仿宋GB2312" w:cs="Times New Roman"/>
          <w:b w:val="0"/>
          <w:bCs w:val="0"/>
          <w:kern w:val="2"/>
          <w:sz w:val="28"/>
          <w:szCs w:val="28"/>
          <w:lang w:val="en-US" w:eastAsia="zh-CN" w:bidi="ar-SA"/>
        </w:rPr>
        <w:t>8:30-11:30</w:t>
      </w:r>
      <w:r>
        <w:rPr>
          <w:rFonts w:hint="eastAsia" w:ascii="Times New Roman" w:hAnsi="Times New Roman" w:eastAsia="仿宋GB2312" w:cs="Times New Roman"/>
          <w:b w:val="0"/>
          <w:bCs w:val="0"/>
          <w:kern w:val="2"/>
          <w:sz w:val="28"/>
          <w:szCs w:val="28"/>
          <w:lang w:val="en-US" w:eastAsia="zh-CN" w:bidi="ar-SA"/>
        </w:rPr>
        <w:t>，</w:t>
      </w:r>
      <w:r>
        <w:rPr>
          <w:rFonts w:hint="default" w:ascii="Times New Roman" w:hAnsi="Times New Roman" w:eastAsia="仿宋GB2312" w:cs="Times New Roman"/>
          <w:b w:val="0"/>
          <w:bCs w:val="0"/>
          <w:kern w:val="2"/>
          <w:sz w:val="28"/>
          <w:szCs w:val="28"/>
          <w:lang w:val="en-US" w:eastAsia="zh-CN" w:bidi="ar-SA"/>
        </w:rPr>
        <w:t>14:30-17:30</w:t>
      </w:r>
      <w:r>
        <w:rPr>
          <w:rFonts w:hint="eastAsia" w:ascii="Times New Roman" w:hAnsi="Times New Roman" w:eastAsia="仿宋GB2312" w:cs="Times New Roman"/>
          <w:b w:val="0"/>
          <w:bCs w:val="0"/>
          <w:kern w:val="2"/>
          <w:sz w:val="28"/>
          <w:szCs w:val="28"/>
          <w:lang w:val="en-US" w:eastAsia="zh-CN" w:bidi="ar-SA"/>
        </w:rPr>
        <w:t>。</w:t>
      </w:r>
    </w:p>
    <w:p>
      <w:pPr>
        <w:pStyle w:val="6"/>
        <w:widowControl/>
        <w:wordWrap/>
        <w:autoSpaceDN w:val="0"/>
        <w:adjustRightInd/>
        <w:snapToGrid/>
        <w:spacing w:before="0" w:beforeLines="0" w:beforeAutospacing="0" w:after="0" w:afterLines="0" w:afterAutospacing="0"/>
        <w:ind w:left="0" w:leftChars="0" w:right="0" w:firstLine="560" w:firstLineChars="200"/>
        <w:jc w:val="both"/>
        <w:textAlignment w:val="auto"/>
        <w:rPr>
          <w:rFonts w:hint="eastAsia" w:ascii="Times New Roman" w:hAnsi="Times New Roman" w:eastAsia="仿宋GB2312" w:cs="Times New Roman"/>
          <w:b/>
          <w:bCs/>
          <w:kern w:val="2"/>
          <w:sz w:val="28"/>
          <w:szCs w:val="28"/>
          <w:lang w:val="en-US" w:eastAsia="zh-CN" w:bidi="ar-SA"/>
        </w:rPr>
      </w:pPr>
      <w:r>
        <w:rPr>
          <w:rFonts w:hint="eastAsia" w:eastAsia="仿宋GB2312" w:cs="Times New Roman"/>
          <w:b/>
          <w:bCs/>
          <w:kern w:val="2"/>
          <w:sz w:val="28"/>
          <w:szCs w:val="28"/>
          <w:lang w:val="en-US" w:eastAsia="zh-CN" w:bidi="ar-SA"/>
        </w:rPr>
        <w:t>2.</w:t>
      </w:r>
      <w:r>
        <w:rPr>
          <w:rFonts w:hint="eastAsia" w:ascii="Times New Roman" w:hAnsi="Times New Roman" w:eastAsia="仿宋GB2312" w:cs="Times New Roman"/>
          <w:b/>
          <w:bCs/>
          <w:kern w:val="2"/>
          <w:sz w:val="28"/>
          <w:szCs w:val="28"/>
          <w:lang w:val="en-US" w:eastAsia="zh-CN" w:bidi="ar-SA"/>
        </w:rPr>
        <w:t>办理地点：</w:t>
      </w:r>
      <w:r>
        <w:rPr>
          <w:rFonts w:hint="eastAsia" w:ascii="Times New Roman" w:hAnsi="Times New Roman" w:eastAsia="仿宋GB2312" w:cs="Times New Roman"/>
          <w:b w:val="0"/>
          <w:bCs w:val="0"/>
          <w:kern w:val="2"/>
          <w:sz w:val="28"/>
          <w:szCs w:val="28"/>
          <w:lang w:val="en-US" w:eastAsia="zh-CN" w:bidi="ar-SA"/>
        </w:rPr>
        <w:t>内蒙古自治区呼和浩特市新华大街</w:t>
      </w:r>
      <w:r>
        <w:rPr>
          <w:rFonts w:hint="eastAsia" w:eastAsia="仿宋GB2312" w:cs="Times New Roman"/>
          <w:b w:val="0"/>
          <w:bCs w:val="0"/>
          <w:kern w:val="2"/>
          <w:sz w:val="28"/>
          <w:szCs w:val="28"/>
          <w:lang w:val="en-US" w:eastAsia="zh-CN" w:bidi="ar-SA"/>
        </w:rPr>
        <w:t>188</w:t>
      </w:r>
      <w:bookmarkStart w:id="0" w:name="_GoBack"/>
      <w:bookmarkEnd w:id="0"/>
      <w:r>
        <w:rPr>
          <w:rFonts w:hint="eastAsia" w:ascii="Times New Roman" w:hAnsi="Times New Roman" w:eastAsia="仿宋GB2312" w:cs="Times New Roman"/>
          <w:b w:val="0"/>
          <w:bCs w:val="0"/>
          <w:kern w:val="2"/>
          <w:sz w:val="28"/>
          <w:szCs w:val="28"/>
          <w:lang w:val="en-US" w:eastAsia="zh-CN" w:bidi="ar-SA"/>
        </w:rPr>
        <w:t>号国家外汇管理局内蒙古分局</w:t>
      </w:r>
      <w:r>
        <w:rPr>
          <w:rFonts w:hint="eastAsia" w:eastAsia="仿宋GB2312" w:cs="Times New Roman"/>
          <w:b w:val="0"/>
          <w:bCs w:val="0"/>
          <w:kern w:val="2"/>
          <w:sz w:val="28"/>
          <w:szCs w:val="28"/>
          <w:lang w:val="en-US" w:eastAsia="zh-CN" w:bidi="ar-SA"/>
        </w:rPr>
        <w:t>外汇管理处2106</w:t>
      </w:r>
      <w:r>
        <w:rPr>
          <w:rFonts w:hint="eastAsia" w:ascii="Times New Roman" w:hAnsi="Times New Roman" w:eastAsia="仿宋GB2312" w:cs="Times New Roman"/>
          <w:b w:val="0"/>
          <w:bCs w:val="0"/>
          <w:kern w:val="2"/>
          <w:sz w:val="28"/>
          <w:szCs w:val="28"/>
          <w:lang w:val="en-US" w:eastAsia="zh-CN" w:bidi="ar-SA"/>
        </w:rPr>
        <w:t>房间。</w:t>
      </w:r>
    </w:p>
    <w:p>
      <w:pPr>
        <w:numPr>
          <w:numId w:val="0"/>
        </w:numPr>
        <w:wordWrap/>
        <w:adjustRightInd/>
        <w:snapToGrid/>
        <w:spacing w:line="540" w:lineRule="exact"/>
        <w:ind w:left="0" w:leftChars="0" w:right="0" w:firstLine="560" w:firstLineChars="200"/>
        <w:jc w:val="both"/>
        <w:textAlignment w:val="auto"/>
        <w:outlineLvl w:val="1"/>
        <w:rPr>
          <w:rFonts w:hint="eastAsia" w:ascii="Times New Roman" w:hAnsi="Times New Roman" w:eastAsia="仿宋GB2312" w:cs="Times New Roman"/>
          <w:b w:val="0"/>
          <w:bCs w:val="0"/>
          <w:kern w:val="2"/>
          <w:sz w:val="28"/>
          <w:szCs w:val="28"/>
          <w:lang w:val="en-US" w:eastAsia="zh-CN" w:bidi="ar-SA"/>
        </w:rPr>
      </w:pPr>
      <w:r>
        <w:rPr>
          <w:rFonts w:hint="eastAsia" w:ascii="Times New Roman" w:hAnsi="Times New Roman" w:eastAsia="仿宋GB2312" w:cs="Times New Roman"/>
          <w:b/>
          <w:bCs/>
          <w:kern w:val="2"/>
          <w:sz w:val="28"/>
          <w:szCs w:val="28"/>
          <w:lang w:val="en-US" w:eastAsia="zh-CN" w:bidi="ar-SA"/>
        </w:rPr>
        <w:t>3.咨询电话：</w:t>
      </w:r>
      <w:r>
        <w:rPr>
          <w:rFonts w:hint="eastAsia" w:ascii="Times New Roman" w:hAnsi="Times New Roman" w:eastAsia="仿宋GB2312" w:cs="Times New Roman"/>
          <w:b w:val="0"/>
          <w:bCs w:val="0"/>
          <w:kern w:val="2"/>
          <w:sz w:val="28"/>
          <w:szCs w:val="28"/>
          <w:lang w:val="en-US" w:eastAsia="zh-CN" w:bidi="ar-SA"/>
        </w:rPr>
        <w:t>0471-</w:t>
      </w:r>
      <w:r>
        <w:rPr>
          <w:rFonts w:hint="default" w:ascii="Times New Roman" w:hAnsi="Times New Roman" w:eastAsia="仿宋GB2312" w:cs="Times New Roman"/>
          <w:b w:val="0"/>
          <w:bCs w:val="0"/>
          <w:kern w:val="2"/>
          <w:sz w:val="28"/>
          <w:szCs w:val="28"/>
          <w:lang w:val="en-US" w:eastAsia="zh-CN" w:bidi="ar-SA"/>
        </w:rPr>
        <w:t>6650</w:t>
      </w:r>
      <w:r>
        <w:rPr>
          <w:rFonts w:hint="eastAsia" w:ascii="Times New Roman" w:hAnsi="Times New Roman" w:eastAsia="仿宋GB2312" w:cs="Times New Roman"/>
          <w:b w:val="0"/>
          <w:bCs w:val="0"/>
          <w:kern w:val="2"/>
          <w:sz w:val="28"/>
          <w:szCs w:val="28"/>
          <w:lang w:val="en-US" w:eastAsia="zh-CN" w:bidi="ar-SA"/>
        </w:rPr>
        <w:t>437。</w:t>
      </w:r>
    </w:p>
    <w:p>
      <w:pPr>
        <w:spacing w:line="540" w:lineRule="exact"/>
        <w:outlineLvl w:val="1"/>
        <w:rPr>
          <w:rFonts w:ascii="Times New Roman" w:hAnsi="Times New Roman" w:eastAsia="黑体"/>
          <w:sz w:val="28"/>
          <w:szCs w:val="28"/>
        </w:rPr>
      </w:pPr>
      <w:r>
        <w:rPr>
          <w:rFonts w:hint="eastAsia" w:ascii="Times New Roman" w:hAnsi="Times New Roman" w:eastAsia="仿宋GB2312" w:cs="Times New Roman"/>
          <w:b/>
          <w:bCs/>
          <w:kern w:val="2"/>
          <w:sz w:val="28"/>
          <w:szCs w:val="28"/>
          <w:lang w:val="en-US" w:eastAsia="zh-CN" w:bidi="ar-SA"/>
        </w:rPr>
        <w:t xml:space="preserve">    4.监督投诉电话：</w:t>
      </w:r>
      <w:r>
        <w:rPr>
          <w:rFonts w:hint="eastAsia" w:ascii="Times New Roman" w:hAnsi="Times New Roman" w:eastAsia="仿宋GB2312" w:cs="Times New Roman"/>
          <w:b w:val="0"/>
          <w:bCs w:val="0"/>
          <w:kern w:val="2"/>
          <w:sz w:val="28"/>
          <w:szCs w:val="28"/>
          <w:lang w:val="en-US" w:eastAsia="zh-CN" w:bidi="ar-SA"/>
        </w:rPr>
        <w:t>0471-6650374。</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auto"/>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GB2312">
    <w:altName w:val="仿宋"/>
    <w:panose1 w:val="00000000000000000000"/>
    <w:charset w:val="86"/>
    <w:family w:val="auto"/>
    <w:pitch w:val="default"/>
    <w:sig w:usb0="00000000" w:usb1="00000000" w:usb2="00000000" w:usb3="00000000" w:csb0="00040001"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4025682833">
    <w:nsid w:val="EFF30B91"/>
    <w:multiLevelType w:val="singleLevel"/>
    <w:tmpl w:val="EFF30B91"/>
    <w:lvl w:ilvl="0" w:tentative="1">
      <w:start w:val="1"/>
      <w:numFmt w:val="chineseCounting"/>
      <w:suff w:val="nothing"/>
      <w:lvlText w:val="%1、"/>
      <w:lvlJc w:val="left"/>
      <w:rPr>
        <w:rFonts w:hint="eastAsia"/>
      </w:rPr>
    </w:lvl>
  </w:abstractNum>
  <w:abstractNum w:abstractNumId="1702872416">
    <w:nsid w:val="657FC560"/>
    <w:multiLevelType w:val="singleLevel"/>
    <w:tmpl w:val="657FC560"/>
    <w:lvl w:ilvl="0" w:tentative="1">
      <w:start w:val="15"/>
      <w:numFmt w:val="chineseCounting"/>
      <w:suff w:val="nothing"/>
      <w:lvlText w:val="%1、"/>
      <w:lvlJc w:val="left"/>
    </w:lvl>
  </w:abstractNum>
  <w:abstractNum w:abstractNumId="2012293976">
    <w:nsid w:val="77F12B58"/>
    <w:multiLevelType w:val="singleLevel"/>
    <w:tmpl w:val="77F12B58"/>
    <w:lvl w:ilvl="0" w:tentative="1">
      <w:start w:val="1"/>
      <w:numFmt w:val="chineseCounting"/>
      <w:suff w:val="nothing"/>
      <w:lvlText w:val="%1、"/>
      <w:lvlJc w:val="left"/>
      <w:rPr>
        <w:rFonts w:hint="eastAsia"/>
      </w:rPr>
    </w:lvl>
  </w:abstractNum>
  <w:num w:numId="1">
    <w:abstractNumId w:val="4025682833"/>
  </w:num>
  <w:num w:numId="2">
    <w:abstractNumId w:val="1702872416"/>
  </w:num>
  <w:num w:numId="3">
    <w:abstractNumId w:val="201229397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03173D"/>
    <w:rsid w:val="0003173D"/>
    <w:rsid w:val="00115975"/>
    <w:rsid w:val="00395719"/>
    <w:rsid w:val="00406117"/>
    <w:rsid w:val="004A28B3"/>
    <w:rsid w:val="007061F9"/>
    <w:rsid w:val="00885D0D"/>
    <w:rsid w:val="00944581"/>
    <w:rsid w:val="009B7DFB"/>
    <w:rsid w:val="00A4595D"/>
    <w:rsid w:val="00B509C6"/>
    <w:rsid w:val="00B767C7"/>
    <w:rsid w:val="00C74933"/>
    <w:rsid w:val="00DB0FD1"/>
    <w:rsid w:val="16361DE5"/>
    <w:rsid w:val="247D4CEA"/>
    <w:rsid w:val="2E791BD8"/>
    <w:rsid w:val="369719A0"/>
    <w:rsid w:val="5AF5006F"/>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Style w:val="5"/>
      <w:tblLayout w:type="fixed"/>
      <w:tblCellMar>
        <w:top w:w="0" w:type="dxa"/>
        <w:left w:w="108" w:type="dxa"/>
        <w:bottom w:w="0" w:type="dxa"/>
        <w:right w:w="108" w:type="dxa"/>
      </w:tblCellMar>
    </w:tblPr>
    <w:tcPr>
      <w:textDirection w:val="lrTb"/>
    </w:tc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paragraph" w:customStyle="1" w:styleId="6">
    <w:name w:val="p0"/>
    <w:basedOn w:val="1"/>
    <w:uiPriority w:val="0"/>
    <w:pPr>
      <w:spacing w:before="0" w:beforeLines="0" w:beforeAutospacing="0" w:after="0" w:afterLines="0" w:afterAutospacing="0"/>
      <w:ind w:left="0" w:right="0"/>
      <w:jc w:val="both"/>
    </w:pPr>
    <w:rPr>
      <w:rFonts w:hint="default" w:ascii="Times New Roman" w:hAnsi="Times New Roman" w:cs="Times New Roman"/>
      <w:kern w:val="0"/>
      <w:sz w:val="21"/>
      <w:szCs w:val="21"/>
      <w:lang w:val="en-US" w:eastAsia="zh-CN" w:bidi="ar-SA"/>
    </w:rPr>
  </w:style>
  <w:style w:type="character" w:customStyle="1" w:styleId="7">
    <w:name w:val="页眉 Char"/>
    <w:basedOn w:val="4"/>
    <w:link w:val="3"/>
    <w:semiHidden/>
    <w:uiPriority w:val="99"/>
    <w:rPr>
      <w:sz w:val="18"/>
      <w:szCs w:val="18"/>
    </w:rPr>
  </w:style>
  <w:style w:type="character" w:customStyle="1" w:styleId="8">
    <w:name w:val="页脚 Char"/>
    <w:basedOn w:val="4"/>
    <w:link w:val="2"/>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1008</Words>
  <Characters>5750</Characters>
  <Lines>47</Lines>
  <Paragraphs>13</Paragraphs>
  <ScaleCrop>false</ScaleCrop>
  <LinksUpToDate>false</LinksUpToDate>
  <CharactersWithSpaces>0</CharactersWithSpaces>
  <Application>WPS Office 专业版_9.1.0.4797_{F1E327BC-269C-435d-A152-05C5408002CA}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2023-12-08T06:50:00Z</dcterms:created>
  <dc:creator>kylin</dc:creator>
  <cp:lastModifiedBy>王鹏</cp:lastModifiedBy>
  <dcterms:modified xsi:type="dcterms:W3CDTF">2025-08-28T08:37:56Z</dcterms:modified>
  <dc:title>省级分局和计划单列市分局办理的个人携带</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2052-9.1.0.4797</vt:lpwstr>
  </property>
</Properties>
</file>