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firstLineChars="0"/>
        <w:jc w:val="right"/>
        <w:rPr>
          <w:rFonts w:eastAsia="方正小标宋_GBK"/>
          <w:sz w:val="40"/>
          <w:szCs w:val="40"/>
        </w:rPr>
      </w:pPr>
      <w:r>
        <w:rPr>
          <w:rFonts w:ascii="Times New Roman" w:hAnsi="Times New Roman" w:eastAsia="黑体" w:cs="Times New Roman"/>
          <w:kern w:val="2"/>
          <w:sz w:val="48"/>
          <w:szCs w:val="48"/>
          <w:lang w:val="en-US" w:eastAsia="zh-CN" w:bidi="ar-SA"/>
        </w:rPr>
        <w:pict>
          <v:shape id="Picture 1" o:spid="_x0000_s1026" type="#_x0000_t75" style="height:69.75pt;width:87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ind w:right="300" w:firstLine="0" w:firstLineChars="0"/>
        <w:jc w:val="left"/>
        <w:rPr>
          <w:rFonts w:eastAsia="黑体"/>
          <w:sz w:val="48"/>
          <w:szCs w:val="48"/>
        </w:rPr>
      </w:pPr>
      <w:r>
        <w:rPr>
          <w:rFonts w:hint="eastAsia" w:eastAsia="黑体"/>
          <w:sz w:val="48"/>
          <w:szCs w:val="48"/>
        </w:rPr>
        <w:t>编号：</w:t>
      </w:r>
      <w:r>
        <w:rPr>
          <w:rFonts w:eastAsia="黑体"/>
          <w:sz w:val="48"/>
          <w:szCs w:val="48"/>
        </w:rPr>
        <w:t>000171102002</w:t>
      </w: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right="300" w:firstLine="0" w:firstLineChars="0"/>
        <w:jc w:val="center"/>
        <w:rPr>
          <w:rFonts w:eastAsia="黑体"/>
          <w:sz w:val="52"/>
          <w:szCs w:val="52"/>
        </w:rPr>
      </w:pPr>
      <w:r>
        <w:rPr>
          <w:rFonts w:hint="eastAsia" w:eastAsia="黑体"/>
          <w:sz w:val="52"/>
          <w:szCs w:val="52"/>
        </w:rPr>
        <w:t>“省级分局和计划单列市分局</w:t>
      </w:r>
      <w:r>
        <w:rPr>
          <w:rFonts w:eastAsia="黑体"/>
          <w:sz w:val="52"/>
          <w:szCs w:val="52"/>
        </w:rPr>
        <w:t>办理的超期限或无法原路退汇的经常项目收支登记</w:t>
      </w:r>
      <w:r>
        <w:rPr>
          <w:rFonts w:hint="eastAsia" w:eastAsia="黑体"/>
          <w:sz w:val="52"/>
          <w:szCs w:val="52"/>
        </w:rPr>
        <w:t>”</w:t>
      </w:r>
      <w:r>
        <w:rPr>
          <w:rFonts w:eastAsia="黑体"/>
          <w:sz w:val="52"/>
          <w:szCs w:val="52"/>
        </w:rPr>
        <w:t>行政</w:t>
      </w:r>
      <w:r>
        <w:rPr>
          <w:rFonts w:hint="eastAsia" w:eastAsia="黑体" w:cs="Times New Roman"/>
          <w:color w:val="auto"/>
          <w:sz w:val="52"/>
          <w:szCs w:val="52"/>
          <w:lang w:eastAsia="zh-CN"/>
        </w:rPr>
        <w:t>许可办事</w:t>
      </w:r>
      <w:r>
        <w:rPr>
          <w:rFonts w:eastAsia="黑体"/>
          <w:sz w:val="52"/>
          <w:szCs w:val="52"/>
        </w:rPr>
        <w:t>指南</w:t>
      </w: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ind w:right="300" w:firstLine="600"/>
        <w:jc w:val="center"/>
        <w:rPr>
          <w:rFonts w:eastAsia="仿宋_GB2312"/>
          <w:sz w:val="30"/>
          <w:szCs w:val="30"/>
        </w:rPr>
      </w:pPr>
      <w:r>
        <w:rPr>
          <w:rFonts w:eastAsia="仿宋_GB2312"/>
          <w:sz w:val="30"/>
          <w:szCs w:val="30"/>
        </w:rPr>
        <w:t>发布日期：20</w:t>
      </w:r>
      <w:r>
        <w:rPr>
          <w:rFonts w:hint="eastAsia" w:eastAsia="仿宋_GB2312"/>
          <w:sz w:val="30"/>
          <w:szCs w:val="30"/>
        </w:rPr>
        <w:t>2</w:t>
      </w:r>
      <w:r>
        <w:rPr>
          <w:rFonts w:hint="eastAsia" w:eastAsia="仿宋_GB2312"/>
          <w:sz w:val="30"/>
          <w:szCs w:val="30"/>
          <w:lang w:val="en-US" w:eastAsia="zh-CN"/>
        </w:rPr>
        <w:t>5</w:t>
      </w:r>
      <w:r>
        <w:rPr>
          <w:rFonts w:eastAsia="仿宋_GB2312"/>
          <w:sz w:val="30"/>
          <w:szCs w:val="30"/>
        </w:rPr>
        <w:t>年</w:t>
      </w:r>
      <w:r>
        <w:rPr>
          <w:rFonts w:hint="eastAsia" w:eastAsia="仿宋_GB2312"/>
          <w:sz w:val="30"/>
          <w:szCs w:val="30"/>
          <w:lang w:val="en-US" w:eastAsia="zh-CN"/>
        </w:rPr>
        <w:t>3</w:t>
      </w:r>
      <w:r>
        <w:rPr>
          <w:rFonts w:eastAsia="仿宋_GB2312"/>
          <w:sz w:val="30"/>
          <w:szCs w:val="30"/>
        </w:rPr>
        <w:t>月</w:t>
      </w:r>
      <w:r>
        <w:rPr>
          <w:rFonts w:hint="eastAsia" w:eastAsia="仿宋_GB2312"/>
          <w:sz w:val="30"/>
          <w:szCs w:val="30"/>
          <w:lang w:val="en-US" w:eastAsia="zh-CN"/>
        </w:rPr>
        <w:t>30</w:t>
      </w:r>
      <w:r>
        <w:rPr>
          <w:rFonts w:eastAsia="仿宋_GB2312"/>
          <w:sz w:val="30"/>
          <w:szCs w:val="30"/>
        </w:rPr>
        <w:t>日</w:t>
      </w:r>
    </w:p>
    <w:p>
      <w:pPr>
        <w:ind w:right="300" w:firstLine="600"/>
        <w:jc w:val="center"/>
        <w:rPr>
          <w:rFonts w:eastAsia="仿宋_GB2312"/>
          <w:sz w:val="30"/>
          <w:szCs w:val="30"/>
        </w:rPr>
      </w:pPr>
      <w:r>
        <w:rPr>
          <w:rFonts w:eastAsia="仿宋_GB2312"/>
          <w:sz w:val="30"/>
          <w:szCs w:val="30"/>
        </w:rPr>
        <w:t>实施日期：20</w:t>
      </w:r>
      <w:r>
        <w:rPr>
          <w:rFonts w:hint="eastAsia" w:eastAsia="仿宋_GB2312"/>
          <w:sz w:val="30"/>
          <w:szCs w:val="30"/>
        </w:rPr>
        <w:t>2</w:t>
      </w:r>
      <w:r>
        <w:rPr>
          <w:rFonts w:hint="eastAsia" w:eastAsia="仿宋_GB2312"/>
          <w:sz w:val="30"/>
          <w:szCs w:val="30"/>
          <w:lang w:val="en-US" w:eastAsia="zh-CN"/>
        </w:rPr>
        <w:t>5</w:t>
      </w:r>
      <w:r>
        <w:rPr>
          <w:rFonts w:eastAsia="仿宋_GB2312"/>
          <w:sz w:val="30"/>
          <w:szCs w:val="30"/>
        </w:rPr>
        <w:t>年</w:t>
      </w:r>
      <w:r>
        <w:rPr>
          <w:rFonts w:hint="eastAsia" w:eastAsia="仿宋_GB2312"/>
          <w:sz w:val="30"/>
          <w:szCs w:val="30"/>
          <w:lang w:val="en-US" w:eastAsia="zh-CN"/>
        </w:rPr>
        <w:t>4</w:t>
      </w:r>
      <w:r>
        <w:rPr>
          <w:rFonts w:eastAsia="仿宋_GB2312"/>
          <w:sz w:val="30"/>
          <w:szCs w:val="30"/>
        </w:rPr>
        <w:t>月</w:t>
      </w:r>
      <w:r>
        <w:rPr>
          <w:rFonts w:hint="eastAsia" w:eastAsia="仿宋_GB2312"/>
          <w:sz w:val="30"/>
          <w:szCs w:val="30"/>
          <w:lang w:val="en-US" w:eastAsia="zh-CN"/>
        </w:rPr>
        <w:t>1</w:t>
      </w:r>
      <w:r>
        <w:rPr>
          <w:rFonts w:eastAsia="仿宋_GB2312"/>
          <w:sz w:val="30"/>
          <w:szCs w:val="30"/>
        </w:rPr>
        <w:t>日</w:t>
      </w:r>
    </w:p>
    <w:p>
      <w:pPr>
        <w:ind w:right="300" w:firstLine="600"/>
        <w:jc w:val="center"/>
        <w:rPr>
          <w:rFonts w:eastAsia="仿宋_GB2312"/>
          <w:sz w:val="30"/>
          <w:szCs w:val="30"/>
        </w:rPr>
      </w:pPr>
      <w:r>
        <w:rPr>
          <w:rFonts w:eastAsia="仿宋_GB2312"/>
          <w:sz w:val="30"/>
          <w:szCs w:val="30"/>
        </w:rPr>
        <w:t>发布机构：国家外汇管理局</w:t>
      </w:r>
      <w:r>
        <w:rPr>
          <w:rFonts w:hint="eastAsia" w:eastAsia="仿宋_GB2312"/>
          <w:sz w:val="30"/>
          <w:szCs w:val="30"/>
        </w:rPr>
        <w:t>江苏省分局</w:t>
      </w:r>
    </w:p>
    <w:p>
      <w:pPr>
        <w:ind w:firstLine="0" w:firstLineChars="0"/>
        <w:jc w:val="center"/>
        <w:rPr>
          <w:rFonts w:eastAsia="方正小标宋_GBK"/>
          <w:sz w:val="40"/>
          <w:szCs w:val="40"/>
        </w:rPr>
      </w:pPr>
    </w:p>
    <w:p>
      <w:pPr>
        <w:ind w:firstLine="0" w:firstLineChars="0"/>
        <w:jc w:val="center"/>
        <w:rPr>
          <w:rFonts w:eastAsia="方正小标宋_GBK"/>
          <w:sz w:val="40"/>
          <w:szCs w:val="40"/>
        </w:rPr>
      </w:pPr>
    </w:p>
    <w:p>
      <w:pPr>
        <w:adjustRightInd w:val="0"/>
        <w:snapToGrid w:val="0"/>
        <w:spacing w:line="360" w:lineRule="auto"/>
        <w:ind w:firstLine="600"/>
        <w:jc w:val="left"/>
        <w:rPr>
          <w:rFonts w:eastAsia="黑体"/>
          <w:sz w:val="30"/>
          <w:szCs w:val="30"/>
        </w:rPr>
      </w:pPr>
      <w:bookmarkStart w:id="0" w:name="_Toc230209183"/>
      <w:r>
        <w:rPr>
          <w:rFonts w:eastAsia="黑体"/>
          <w:sz w:val="30"/>
          <w:szCs w:val="30"/>
        </w:rPr>
        <w:t>一、项目信息</w:t>
      </w:r>
    </w:p>
    <w:p>
      <w:pPr>
        <w:adjustRightInd w:val="0"/>
        <w:snapToGrid w:val="0"/>
        <w:spacing w:line="360" w:lineRule="auto"/>
        <w:ind w:firstLine="600"/>
        <w:rPr>
          <w:rFonts w:eastAsia="仿宋_GB2312"/>
          <w:sz w:val="30"/>
          <w:szCs w:val="30"/>
        </w:rPr>
      </w:pPr>
      <w:r>
        <w:rPr>
          <w:rFonts w:eastAsia="仿宋_GB2312"/>
          <w:sz w:val="30"/>
          <w:szCs w:val="30"/>
        </w:rPr>
        <w:t>1.行政许可事项名称及编码</w:t>
      </w:r>
      <w:bookmarkEnd w:id="0"/>
    </w:p>
    <w:p>
      <w:pPr>
        <w:adjustRightInd w:val="0"/>
        <w:snapToGrid w:val="0"/>
        <w:spacing w:line="360" w:lineRule="auto"/>
        <w:ind w:firstLine="600"/>
        <w:rPr>
          <w:rFonts w:eastAsia="仿宋_GB2312"/>
          <w:sz w:val="30"/>
          <w:szCs w:val="30"/>
        </w:rPr>
      </w:pPr>
      <w:bookmarkStart w:id="1" w:name="_Toc2089527096"/>
      <w:r>
        <w:rPr>
          <w:rFonts w:eastAsia="仿宋_GB2312"/>
          <w:sz w:val="30"/>
          <w:szCs w:val="30"/>
        </w:rPr>
        <w:t>经常项目特定收支业务核准【00017110200Y】</w:t>
      </w:r>
      <w:bookmarkEnd w:id="1"/>
    </w:p>
    <w:p>
      <w:pPr>
        <w:adjustRightInd w:val="0"/>
        <w:snapToGrid w:val="0"/>
        <w:spacing w:line="360" w:lineRule="auto"/>
        <w:ind w:firstLine="600"/>
        <w:rPr>
          <w:rFonts w:eastAsia="仿宋_GB2312"/>
          <w:sz w:val="30"/>
          <w:szCs w:val="30"/>
        </w:rPr>
      </w:pPr>
      <w:bookmarkStart w:id="2" w:name="_Toc1525380920"/>
      <w:r>
        <w:rPr>
          <w:rFonts w:eastAsia="仿宋_GB2312"/>
          <w:sz w:val="30"/>
          <w:szCs w:val="30"/>
        </w:rPr>
        <w:t>2.行政许可事项子项名称及编码</w:t>
      </w:r>
      <w:bookmarkEnd w:id="2"/>
    </w:p>
    <w:p>
      <w:pPr>
        <w:adjustRightInd w:val="0"/>
        <w:snapToGrid w:val="0"/>
        <w:spacing w:line="360" w:lineRule="auto"/>
        <w:ind w:firstLine="600"/>
        <w:rPr>
          <w:rFonts w:eastAsia="仿宋_GB2312"/>
          <w:sz w:val="30"/>
          <w:szCs w:val="30"/>
        </w:rPr>
      </w:pPr>
      <w:r>
        <w:rPr>
          <w:rFonts w:hint="eastAsia" w:eastAsia="仿宋_GB2312"/>
          <w:sz w:val="30"/>
          <w:szCs w:val="30"/>
        </w:rPr>
        <w:t>省级分局和计划单列市分局</w:t>
      </w:r>
      <w:r>
        <w:rPr>
          <w:rFonts w:eastAsia="仿宋_GB2312"/>
          <w:sz w:val="30"/>
          <w:szCs w:val="30"/>
        </w:rPr>
        <w:t>办理的超期限或无法原路退汇的经常项目收支登记【000171102002】</w:t>
      </w:r>
    </w:p>
    <w:p>
      <w:pPr>
        <w:adjustRightInd w:val="0"/>
        <w:snapToGrid w:val="0"/>
        <w:spacing w:line="360" w:lineRule="auto"/>
        <w:ind w:firstLine="600"/>
        <w:rPr>
          <w:rFonts w:eastAsia="仿宋_GB2312"/>
          <w:sz w:val="30"/>
          <w:szCs w:val="30"/>
        </w:rPr>
      </w:pPr>
      <w:bookmarkStart w:id="3" w:name="_Toc2063580263"/>
      <w:r>
        <w:rPr>
          <w:rFonts w:eastAsia="仿宋_GB2312"/>
          <w:sz w:val="30"/>
          <w:szCs w:val="30"/>
        </w:rPr>
        <w:t>3.行政许可事项业务办理项名称及编码</w:t>
      </w:r>
      <w:bookmarkEnd w:id="3"/>
    </w:p>
    <w:p>
      <w:pPr>
        <w:adjustRightInd w:val="0"/>
        <w:snapToGrid w:val="0"/>
        <w:spacing w:line="360" w:lineRule="auto"/>
        <w:ind w:firstLine="600"/>
        <w:rPr>
          <w:rFonts w:eastAsia="仿宋_GB2312"/>
          <w:sz w:val="30"/>
          <w:szCs w:val="30"/>
        </w:rPr>
      </w:pPr>
      <w:bookmarkStart w:id="4" w:name="_Toc643850346"/>
      <w:r>
        <w:rPr>
          <w:rFonts w:hint="eastAsia" w:eastAsia="仿宋_GB2312"/>
          <w:sz w:val="30"/>
          <w:szCs w:val="30"/>
        </w:rPr>
        <w:t>省级分局和计划单列市分局</w:t>
      </w:r>
      <w:r>
        <w:rPr>
          <w:rFonts w:eastAsia="仿宋_GB2312"/>
          <w:sz w:val="30"/>
          <w:szCs w:val="30"/>
        </w:rPr>
        <w:t>办理的超期限或无法原路退汇的经常项目收支登记（00017110200201）</w:t>
      </w:r>
    </w:p>
    <w:p>
      <w:pPr>
        <w:adjustRightInd w:val="0"/>
        <w:snapToGrid w:val="0"/>
        <w:spacing w:line="360" w:lineRule="auto"/>
        <w:ind w:firstLine="600"/>
        <w:rPr>
          <w:rFonts w:eastAsia="黑体"/>
          <w:sz w:val="30"/>
          <w:szCs w:val="30"/>
        </w:rPr>
      </w:pPr>
      <w:r>
        <w:rPr>
          <w:rFonts w:eastAsia="黑体"/>
          <w:sz w:val="30"/>
          <w:szCs w:val="30"/>
        </w:rPr>
        <w:t>二、适用范围</w:t>
      </w:r>
    </w:p>
    <w:p>
      <w:pPr>
        <w:adjustRightInd w:val="0"/>
        <w:snapToGrid w:val="0"/>
        <w:spacing w:line="360" w:lineRule="auto"/>
        <w:ind w:firstLine="600"/>
        <w:rPr>
          <w:rFonts w:eastAsia="仿宋_GB2312"/>
          <w:sz w:val="30"/>
          <w:szCs w:val="30"/>
        </w:rPr>
      </w:pPr>
      <w:r>
        <w:rPr>
          <w:rFonts w:eastAsia="仿宋_GB2312"/>
          <w:sz w:val="30"/>
          <w:szCs w:val="30"/>
        </w:rPr>
        <w:t>本指南适用于</w:t>
      </w:r>
      <w:r>
        <w:rPr>
          <w:rFonts w:hint="eastAsia" w:eastAsia="仿宋_GB2312"/>
          <w:sz w:val="30"/>
          <w:szCs w:val="30"/>
        </w:rPr>
        <w:t>“省级分局和计划单列市分局办理的超期限或无法原路退汇的经常项目收支登记”</w:t>
      </w:r>
      <w:r>
        <w:rPr>
          <w:rFonts w:eastAsia="仿宋_GB2312"/>
          <w:sz w:val="30"/>
          <w:szCs w:val="30"/>
        </w:rPr>
        <w:t>的申请和办理。</w:t>
      </w:r>
    </w:p>
    <w:bookmarkEnd w:id="4"/>
    <w:p>
      <w:pPr>
        <w:tabs>
          <w:tab w:val="left" w:pos="3718"/>
        </w:tabs>
        <w:adjustRightInd w:val="0"/>
        <w:snapToGrid w:val="0"/>
        <w:spacing w:line="360" w:lineRule="auto"/>
        <w:ind w:firstLine="600"/>
        <w:rPr>
          <w:rFonts w:eastAsia="黑体"/>
          <w:sz w:val="30"/>
          <w:szCs w:val="30"/>
        </w:rPr>
      </w:pPr>
      <w:bookmarkStart w:id="5" w:name="_Toc1192412590"/>
      <w:r>
        <w:rPr>
          <w:rFonts w:eastAsia="黑体"/>
          <w:sz w:val="30"/>
          <w:szCs w:val="30"/>
        </w:rPr>
        <w:t>三、设定依据</w:t>
      </w:r>
    </w:p>
    <w:p>
      <w:pPr>
        <w:adjustRightInd w:val="0"/>
        <w:snapToGrid w:val="0"/>
        <w:spacing w:line="360" w:lineRule="auto"/>
        <w:ind w:firstLine="600"/>
        <w:rPr>
          <w:rFonts w:eastAsia="仿宋_GB2312"/>
          <w:sz w:val="30"/>
          <w:szCs w:val="30"/>
        </w:rPr>
      </w:pPr>
      <w:r>
        <w:rPr>
          <w:rFonts w:eastAsia="仿宋_GB2312"/>
          <w:sz w:val="30"/>
          <w:szCs w:val="30"/>
        </w:rPr>
        <w:t>《国务院对确需保留的行政审批项目设定行政许可的决定》</w:t>
      </w:r>
      <w:bookmarkEnd w:id="5"/>
    </w:p>
    <w:p>
      <w:pPr>
        <w:tabs>
          <w:tab w:val="left" w:pos="3718"/>
        </w:tabs>
        <w:adjustRightInd w:val="0"/>
        <w:snapToGrid w:val="0"/>
        <w:spacing w:line="360" w:lineRule="auto"/>
        <w:ind w:firstLine="600"/>
        <w:rPr>
          <w:rFonts w:eastAsia="黑体"/>
          <w:sz w:val="30"/>
          <w:szCs w:val="30"/>
        </w:rPr>
      </w:pPr>
      <w:bookmarkStart w:id="6" w:name="_Toc1882534944"/>
      <w:r>
        <w:rPr>
          <w:rFonts w:hint="eastAsia" w:eastAsia="黑体"/>
          <w:sz w:val="30"/>
          <w:szCs w:val="30"/>
        </w:rPr>
        <w:t>四、办理</w:t>
      </w:r>
      <w:r>
        <w:rPr>
          <w:rFonts w:eastAsia="黑体"/>
          <w:sz w:val="30"/>
          <w:szCs w:val="30"/>
        </w:rPr>
        <w:t>依据</w:t>
      </w:r>
      <w:bookmarkEnd w:id="6"/>
    </w:p>
    <w:p>
      <w:pPr>
        <w:adjustRightInd w:val="0"/>
        <w:snapToGrid w:val="0"/>
        <w:spacing w:line="360" w:lineRule="auto"/>
        <w:ind w:firstLine="600"/>
        <w:jc w:val="left"/>
        <w:rPr>
          <w:rFonts w:eastAsia="仿宋_GB2312"/>
          <w:sz w:val="30"/>
          <w:szCs w:val="30"/>
        </w:rPr>
      </w:pPr>
      <w:bookmarkStart w:id="7" w:name="_Toc54488669"/>
      <w:r>
        <w:rPr>
          <w:rFonts w:eastAsia="仿宋_GB2312"/>
          <w:sz w:val="30"/>
          <w:szCs w:val="30"/>
        </w:rPr>
        <w:t>（1）</w:t>
      </w:r>
      <w:bookmarkEnd w:id="7"/>
      <w:r>
        <w:rPr>
          <w:rFonts w:eastAsia="仿宋_GB2312"/>
          <w:sz w:val="30"/>
          <w:szCs w:val="30"/>
        </w:rPr>
        <w:t>《经常项目外汇业务指引（2020年版）》（汇发〔2020〕14号）第二十三条</w:t>
      </w:r>
    </w:p>
    <w:p>
      <w:pPr>
        <w:adjustRightInd w:val="0"/>
        <w:snapToGrid w:val="0"/>
        <w:spacing w:line="360" w:lineRule="auto"/>
        <w:ind w:firstLine="600"/>
        <w:jc w:val="left"/>
        <w:rPr>
          <w:rFonts w:eastAsia="仿宋_GB2312"/>
          <w:sz w:val="30"/>
          <w:szCs w:val="30"/>
        </w:rPr>
      </w:pPr>
      <w:bookmarkStart w:id="8" w:name="_Toc1882612011"/>
      <w:r>
        <w:rPr>
          <w:rFonts w:eastAsia="仿宋_GB2312"/>
          <w:sz w:val="30"/>
          <w:szCs w:val="30"/>
        </w:rPr>
        <w:t>（2）《国家外汇管理局行政许可实施办法》（国家外汇管理局公告2021年第1号）</w:t>
      </w:r>
      <w:bookmarkEnd w:id="8"/>
      <w:r>
        <w:rPr>
          <w:rFonts w:eastAsia="仿宋_GB2312"/>
          <w:sz w:val="30"/>
          <w:szCs w:val="30"/>
        </w:rPr>
        <w:t>全文</w:t>
      </w:r>
    </w:p>
    <w:p>
      <w:pPr>
        <w:adjustRightInd w:val="0"/>
        <w:snapToGrid w:val="0"/>
        <w:spacing w:line="360" w:lineRule="auto"/>
        <w:ind w:firstLine="600"/>
        <w:jc w:val="left"/>
        <w:rPr>
          <w:rFonts w:hint="eastAsia" w:eastAsia="仿宋_GB2312"/>
          <w:sz w:val="30"/>
          <w:szCs w:val="30"/>
          <w:lang w:eastAsia="zh-CN"/>
        </w:rPr>
      </w:pPr>
      <w:r>
        <w:rPr>
          <w:rFonts w:hint="eastAsia" w:eastAsia="仿宋_GB2312"/>
          <w:sz w:val="30"/>
          <w:szCs w:val="30"/>
          <w:lang w:eastAsia="zh-CN"/>
        </w:rPr>
        <w:t>（</w:t>
      </w:r>
      <w:r>
        <w:rPr>
          <w:rFonts w:hint="eastAsia" w:eastAsia="仿宋_GB2312"/>
          <w:sz w:val="30"/>
          <w:szCs w:val="30"/>
          <w:lang w:val="en-US" w:eastAsia="zh-CN"/>
        </w:rPr>
        <w:t>3）《</w:t>
      </w:r>
      <w:r>
        <w:rPr>
          <w:rFonts w:eastAsia="仿宋_GB2312"/>
          <w:sz w:val="30"/>
          <w:szCs w:val="30"/>
          <w:lang w:val="en-US" w:eastAsia="zh-CN"/>
        </w:rPr>
        <w:t>国家外汇管理局关于进一步优化</w:t>
      </w:r>
      <w:r>
        <w:rPr>
          <w:rFonts w:hint="default" w:eastAsia="仿宋_GB2312"/>
          <w:sz w:val="30"/>
          <w:szCs w:val="30"/>
          <w:lang w:val="en-US" w:eastAsia="zh-CN"/>
        </w:rPr>
        <w:t>贸易外汇业务管理的通知</w:t>
      </w:r>
      <w:r>
        <w:rPr>
          <w:rFonts w:hint="eastAsia" w:eastAsia="仿宋_GB2312"/>
          <w:sz w:val="30"/>
          <w:szCs w:val="30"/>
          <w:lang w:val="en-US" w:eastAsia="zh-CN"/>
        </w:rPr>
        <w:t>》（汇发〔2024〕11号）</w:t>
      </w:r>
    </w:p>
    <w:p>
      <w:pPr>
        <w:adjustRightInd w:val="0"/>
        <w:snapToGrid w:val="0"/>
        <w:spacing w:line="360" w:lineRule="auto"/>
        <w:ind w:firstLine="600"/>
        <w:rPr>
          <w:rFonts w:eastAsia="黑体"/>
          <w:sz w:val="30"/>
          <w:szCs w:val="30"/>
        </w:rPr>
      </w:pPr>
      <w:r>
        <w:rPr>
          <w:rFonts w:hint="eastAsia" w:eastAsia="黑体"/>
          <w:sz w:val="30"/>
          <w:szCs w:val="30"/>
        </w:rPr>
        <w:t>五、</w:t>
      </w:r>
      <w:r>
        <w:rPr>
          <w:rFonts w:eastAsia="黑体"/>
          <w:sz w:val="30"/>
          <w:szCs w:val="30"/>
        </w:rPr>
        <w:t>受理机构</w:t>
      </w:r>
    </w:p>
    <w:p>
      <w:pPr>
        <w:widowControl w:val="0"/>
        <w:wordWrap/>
        <w:adjustRightInd w:val="0"/>
        <w:snapToGrid w:val="0"/>
        <w:spacing w:after="0" w:line="360" w:lineRule="auto"/>
        <w:ind w:right="0" w:firstLine="600" w:firstLineChars="200"/>
        <w:textAlignment w:val="auto"/>
        <w:outlineLvl w:val="9"/>
        <w:rPr>
          <w:rFonts w:ascii="Times New Roman" w:hAnsi="Times New Roman" w:eastAsia="黑体" w:cs="Times New Roman"/>
          <w:sz w:val="30"/>
          <w:szCs w:val="30"/>
        </w:rPr>
      </w:pPr>
      <w:r>
        <w:rPr>
          <w:rFonts w:hint="eastAsia" w:ascii="Times New Roman" w:hAnsi="Times New Roman" w:eastAsia="仿宋_GB2312" w:cs="Times New Roman"/>
          <w:sz w:val="30"/>
          <w:szCs w:val="30"/>
        </w:rPr>
        <w:t>国家外汇</w:t>
      </w:r>
      <w:r>
        <w:rPr>
          <w:rFonts w:hint="eastAsia" w:ascii="Times New Roman" w:hAnsi="Times New Roman" w:eastAsia="仿宋_GB2312" w:cs="Times New Roman"/>
          <w:sz w:val="30"/>
          <w:szCs w:val="30"/>
          <w:lang w:eastAsia="zh-CN"/>
        </w:rPr>
        <w:t>管理</w:t>
      </w:r>
      <w:r>
        <w:rPr>
          <w:rFonts w:hint="eastAsia" w:ascii="Times New Roman" w:hAnsi="Times New Roman" w:eastAsia="仿宋_GB2312" w:cs="Times New Roman"/>
          <w:sz w:val="30"/>
          <w:szCs w:val="30"/>
        </w:rPr>
        <w:t>局</w:t>
      </w:r>
      <w:r>
        <w:rPr>
          <w:rFonts w:hint="eastAsia" w:eastAsia="仿宋_GB2312" w:cs="Times New Roman"/>
          <w:sz w:val="30"/>
          <w:szCs w:val="30"/>
          <w:lang w:eastAsia="zh-CN"/>
        </w:rPr>
        <w:t>江苏省分局</w:t>
      </w:r>
      <w:r>
        <w:rPr>
          <w:rFonts w:ascii="Times New Roman" w:hAnsi="Times New Roman" w:eastAsia="仿宋_GB2312" w:cs="Times New Roman"/>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六、</w:t>
      </w:r>
      <w:r>
        <w:rPr>
          <w:rFonts w:eastAsia="黑体"/>
          <w:sz w:val="30"/>
          <w:szCs w:val="30"/>
        </w:rPr>
        <w:t>决定机构</w:t>
      </w:r>
    </w:p>
    <w:p>
      <w:pPr>
        <w:widowControl w:val="0"/>
        <w:wordWrap/>
        <w:adjustRightInd w:val="0"/>
        <w:snapToGrid w:val="0"/>
        <w:spacing w:after="0" w:line="360" w:lineRule="auto"/>
        <w:ind w:right="0" w:firstLine="600" w:firstLineChars="200"/>
        <w:textAlignment w:val="auto"/>
        <w:outlineLvl w:val="9"/>
        <w:rPr>
          <w:rFonts w:ascii="Times New Roman" w:hAnsi="Times New Roman" w:eastAsia="黑体" w:cs="Times New Roman"/>
          <w:sz w:val="30"/>
          <w:szCs w:val="30"/>
        </w:rPr>
      </w:pPr>
      <w:r>
        <w:rPr>
          <w:rFonts w:hint="eastAsia" w:ascii="Times New Roman" w:hAnsi="Times New Roman" w:eastAsia="仿宋_GB2312" w:cs="Times New Roman"/>
          <w:sz w:val="30"/>
          <w:szCs w:val="30"/>
        </w:rPr>
        <w:t>国家外汇</w:t>
      </w:r>
      <w:r>
        <w:rPr>
          <w:rFonts w:hint="eastAsia" w:ascii="Times New Roman" w:hAnsi="Times New Roman" w:eastAsia="仿宋_GB2312" w:cs="Times New Roman"/>
          <w:sz w:val="30"/>
          <w:szCs w:val="30"/>
          <w:lang w:eastAsia="zh-CN"/>
        </w:rPr>
        <w:t>管理</w:t>
      </w:r>
      <w:r>
        <w:rPr>
          <w:rFonts w:hint="eastAsia" w:ascii="Times New Roman" w:hAnsi="Times New Roman" w:eastAsia="仿宋_GB2312" w:cs="Times New Roman"/>
          <w:sz w:val="30"/>
          <w:szCs w:val="30"/>
        </w:rPr>
        <w:t>局</w:t>
      </w:r>
      <w:r>
        <w:rPr>
          <w:rFonts w:hint="eastAsia" w:eastAsia="仿宋_GB2312" w:cs="Times New Roman"/>
          <w:sz w:val="30"/>
          <w:szCs w:val="30"/>
          <w:lang w:eastAsia="zh-CN"/>
        </w:rPr>
        <w:t>江苏省分局</w:t>
      </w:r>
      <w:r>
        <w:rPr>
          <w:rFonts w:ascii="Times New Roman" w:hAnsi="Times New Roman" w:eastAsia="仿宋_GB2312" w:cs="Times New Roman"/>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七、</w:t>
      </w:r>
      <w:r>
        <w:rPr>
          <w:rFonts w:eastAsia="黑体"/>
          <w:sz w:val="30"/>
          <w:szCs w:val="30"/>
        </w:rPr>
        <w:t>审批数量</w:t>
      </w:r>
    </w:p>
    <w:p>
      <w:pPr>
        <w:adjustRightInd w:val="0"/>
        <w:snapToGrid w:val="0"/>
        <w:spacing w:line="360" w:lineRule="auto"/>
        <w:ind w:firstLine="600"/>
        <w:rPr>
          <w:rFonts w:eastAsia="仿宋_GB2312"/>
          <w:sz w:val="30"/>
          <w:szCs w:val="30"/>
        </w:rPr>
      </w:pPr>
      <w:r>
        <w:rPr>
          <w:rFonts w:eastAsia="仿宋_GB2312"/>
          <w:sz w:val="30"/>
          <w:szCs w:val="30"/>
        </w:rPr>
        <w:t>无数量限制</w:t>
      </w:r>
      <w:r>
        <w:rPr>
          <w:rFonts w:hint="eastAsia" w:eastAsia="仿宋_GB2312"/>
          <w:sz w:val="30"/>
          <w:szCs w:val="30"/>
        </w:rPr>
        <w:t>。</w:t>
      </w:r>
    </w:p>
    <w:p>
      <w:pPr>
        <w:adjustRightInd w:val="0"/>
        <w:snapToGrid w:val="0"/>
        <w:spacing w:line="360" w:lineRule="auto"/>
        <w:ind w:firstLine="600"/>
        <w:rPr>
          <w:rFonts w:eastAsia="黑体"/>
          <w:sz w:val="30"/>
          <w:szCs w:val="30"/>
        </w:rPr>
      </w:pPr>
      <w:bookmarkStart w:id="9" w:name="_Toc1971317738"/>
      <w:r>
        <w:rPr>
          <w:rFonts w:hint="eastAsia" w:eastAsia="黑体"/>
          <w:sz w:val="30"/>
          <w:szCs w:val="30"/>
        </w:rPr>
        <w:t>八、</w:t>
      </w:r>
      <w:r>
        <w:rPr>
          <w:rFonts w:eastAsia="黑体"/>
          <w:sz w:val="30"/>
          <w:szCs w:val="30"/>
        </w:rPr>
        <w:t>办事条件</w:t>
      </w:r>
    </w:p>
    <w:bookmarkEnd w:id="9"/>
    <w:p>
      <w:pPr>
        <w:adjustRightInd w:val="0"/>
        <w:snapToGrid w:val="0"/>
        <w:spacing w:line="360" w:lineRule="auto"/>
        <w:ind w:firstLine="600"/>
        <w:contextualSpacing/>
        <w:rPr>
          <w:rFonts w:eastAsia="仿宋_GB2312"/>
          <w:sz w:val="30"/>
          <w:szCs w:val="30"/>
        </w:rPr>
      </w:pPr>
      <w:bookmarkStart w:id="10" w:name="_Toc1748493208"/>
      <w:r>
        <w:rPr>
          <w:rFonts w:hint="eastAsia" w:eastAsia="仿宋_GB2312"/>
          <w:sz w:val="30"/>
          <w:szCs w:val="30"/>
          <w:lang w:val="en-US" w:eastAsia="zh-CN"/>
        </w:rPr>
        <w:t>1.</w:t>
      </w:r>
      <w:r>
        <w:rPr>
          <w:rFonts w:hint="eastAsia" w:eastAsia="仿宋_GB2312"/>
          <w:sz w:val="30"/>
          <w:szCs w:val="30"/>
        </w:rPr>
        <w:t>申请人为</w:t>
      </w:r>
      <w:r>
        <w:rPr>
          <w:rFonts w:eastAsia="仿宋_GB2312"/>
          <w:sz w:val="30"/>
          <w:szCs w:val="30"/>
        </w:rPr>
        <w:t>货物贸易外汇收支分类为A类的企业</w:t>
      </w:r>
      <w:r>
        <w:rPr>
          <w:rFonts w:hint="eastAsia" w:eastAsia="仿宋_GB2312"/>
          <w:sz w:val="30"/>
          <w:szCs w:val="30"/>
          <w:lang w:val="en-US" w:eastAsia="zh-CN"/>
        </w:rPr>
        <w:t>单笔等值20</w:t>
      </w:r>
      <w:r>
        <w:rPr>
          <w:rFonts w:eastAsia="仿宋_GB2312"/>
          <w:sz w:val="30"/>
          <w:szCs w:val="30"/>
        </w:rPr>
        <w:t>万美元以上（不含）</w:t>
      </w:r>
      <w:r>
        <w:rPr>
          <w:rFonts w:hint="eastAsia" w:eastAsia="仿宋_GB2312"/>
          <w:sz w:val="30"/>
          <w:szCs w:val="30"/>
          <w:lang w:eastAsia="zh-CN"/>
        </w:rPr>
        <w:t>或</w:t>
      </w:r>
      <w:r>
        <w:rPr>
          <w:rFonts w:hint="eastAsia" w:eastAsia="仿宋_GB2312"/>
          <w:sz w:val="30"/>
          <w:szCs w:val="30"/>
          <w:lang w:val="en-US" w:eastAsia="zh-CN"/>
        </w:rPr>
        <w:t>B、C类</w:t>
      </w:r>
      <w:r>
        <w:rPr>
          <w:rFonts w:eastAsia="仿宋_GB2312"/>
          <w:sz w:val="30"/>
          <w:szCs w:val="30"/>
        </w:rPr>
        <w:t>的</w:t>
      </w:r>
      <w:r>
        <w:rPr>
          <w:rFonts w:hint="eastAsia" w:eastAsia="仿宋_GB2312"/>
          <w:sz w:val="30"/>
          <w:szCs w:val="30"/>
          <w:lang w:eastAsia="zh-CN"/>
        </w:rPr>
        <w:t>企业申请办理以下情况的</w:t>
      </w:r>
      <w:r>
        <w:rPr>
          <w:rFonts w:eastAsia="仿宋_GB2312"/>
          <w:sz w:val="30"/>
          <w:szCs w:val="30"/>
        </w:rPr>
        <w:t>退汇：退汇日期与原收、付款日期间隔在180天以上（不含）或由于特殊情况无法原路退回的退汇业务。</w:t>
      </w:r>
    </w:p>
    <w:p>
      <w:pPr>
        <w:adjustRightInd w:val="0"/>
        <w:snapToGrid w:val="0"/>
        <w:spacing w:line="360" w:lineRule="auto"/>
        <w:ind w:firstLine="600"/>
        <w:contextualSpacing/>
        <w:rPr>
          <w:rFonts w:eastAsia="黑体"/>
          <w:sz w:val="30"/>
          <w:szCs w:val="30"/>
        </w:rPr>
      </w:pPr>
      <w:r>
        <w:rPr>
          <w:rFonts w:hint="eastAsia" w:eastAsia="仿宋_GB2312"/>
          <w:sz w:val="30"/>
          <w:szCs w:val="30"/>
          <w:lang w:val="en-US" w:eastAsia="zh-CN"/>
        </w:rPr>
        <w:t>2.</w:t>
      </w:r>
      <w:r>
        <w:rPr>
          <w:rFonts w:hint="eastAsia" w:eastAsia="仿宋_GB2312"/>
          <w:sz w:val="30"/>
          <w:szCs w:val="30"/>
        </w:rPr>
        <w:t>申请人为</w:t>
      </w:r>
      <w:r>
        <w:rPr>
          <w:rFonts w:eastAsia="仿宋_GB2312"/>
          <w:sz w:val="30"/>
          <w:szCs w:val="30"/>
        </w:rPr>
        <w:t>货物贸易外汇收支分类为B类</w:t>
      </w:r>
      <w:r>
        <w:rPr>
          <w:rFonts w:hint="eastAsia" w:eastAsia="仿宋_GB2312"/>
          <w:sz w:val="30"/>
          <w:szCs w:val="30"/>
          <w:lang w:eastAsia="zh-CN"/>
        </w:rPr>
        <w:t>的企业超过收、付汇额度的退汇</w:t>
      </w:r>
      <w:r>
        <w:rPr>
          <w:rFonts w:eastAsia="仿宋_GB2312"/>
          <w:sz w:val="30"/>
          <w:szCs w:val="30"/>
        </w:rPr>
        <w:t>或C类企业</w:t>
      </w:r>
      <w:r>
        <w:rPr>
          <w:rFonts w:hint="eastAsia" w:eastAsia="仿宋_GB2312"/>
          <w:sz w:val="30"/>
          <w:szCs w:val="30"/>
          <w:lang w:eastAsia="zh-CN"/>
        </w:rPr>
        <w:t>的其他退汇业务</w:t>
      </w:r>
      <w:r>
        <w:rPr>
          <w:rFonts w:eastAsia="仿宋_GB2312"/>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九</w:t>
      </w:r>
      <w:r>
        <w:rPr>
          <w:rFonts w:eastAsia="黑体"/>
          <w:sz w:val="30"/>
          <w:szCs w:val="30"/>
        </w:rPr>
        <w:t>、申请材料</w:t>
      </w:r>
      <w:bookmarkEnd w:id="10"/>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454"/>
        <w:gridCol w:w="1077"/>
        <w:gridCol w:w="529"/>
        <w:gridCol w:w="710"/>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529" w:type="dxa"/>
            <w:vAlign w:val="center"/>
          </w:tcPr>
          <w:p>
            <w:pPr>
              <w:adjustRightInd w:val="0"/>
              <w:snapToGrid w:val="0"/>
              <w:ind w:firstLine="0" w:firstLineChars="0"/>
              <w:jc w:val="center"/>
              <w:rPr>
                <w:rFonts w:ascii="黑体" w:hAnsi="黑体" w:eastAsia="黑体" w:cs="黑体"/>
                <w:b/>
                <w:bCs/>
                <w:sz w:val="24"/>
                <w:szCs w:val="24"/>
              </w:rPr>
            </w:pPr>
            <w:r>
              <w:rPr>
                <w:rFonts w:hint="eastAsia" w:ascii="黑体" w:hAnsi="黑体" w:eastAsia="黑体" w:cs="黑体"/>
                <w:b/>
                <w:bCs/>
                <w:sz w:val="24"/>
                <w:szCs w:val="24"/>
              </w:rPr>
              <w:t>序号</w:t>
            </w:r>
          </w:p>
        </w:tc>
        <w:tc>
          <w:tcPr>
            <w:tcW w:w="1454" w:type="dxa"/>
            <w:vAlign w:val="center"/>
          </w:tcPr>
          <w:p>
            <w:pPr>
              <w:adjustRightInd w:val="0"/>
              <w:snapToGrid w:val="0"/>
              <w:ind w:firstLine="0" w:firstLineChars="0"/>
              <w:jc w:val="center"/>
              <w:rPr>
                <w:rFonts w:ascii="黑体" w:hAnsi="黑体" w:eastAsia="黑体" w:cs="黑体"/>
                <w:b/>
                <w:bCs/>
                <w:sz w:val="24"/>
                <w:szCs w:val="24"/>
              </w:rPr>
            </w:pPr>
            <w:r>
              <w:rPr>
                <w:rFonts w:hint="eastAsia" w:ascii="黑体" w:hAnsi="黑体" w:eastAsia="黑体" w:cs="黑体"/>
                <w:b/>
                <w:bCs/>
                <w:sz w:val="24"/>
                <w:szCs w:val="24"/>
              </w:rPr>
              <w:t>提交材料名称</w:t>
            </w:r>
          </w:p>
        </w:tc>
        <w:tc>
          <w:tcPr>
            <w:tcW w:w="1077" w:type="dxa"/>
            <w:vAlign w:val="center"/>
          </w:tcPr>
          <w:p>
            <w:pPr>
              <w:adjustRightInd w:val="0"/>
              <w:snapToGrid w:val="0"/>
              <w:ind w:firstLine="0" w:firstLineChars="0"/>
              <w:jc w:val="center"/>
              <w:rPr>
                <w:rFonts w:ascii="黑体" w:hAnsi="黑体" w:eastAsia="黑体" w:cs="黑体"/>
                <w:b/>
                <w:bCs/>
                <w:sz w:val="24"/>
                <w:szCs w:val="24"/>
              </w:rPr>
            </w:pPr>
            <w:r>
              <w:rPr>
                <w:rFonts w:hint="eastAsia" w:ascii="黑体" w:hAnsi="黑体" w:eastAsia="黑体" w:cs="黑体"/>
                <w:b/>
                <w:bCs/>
                <w:sz w:val="24"/>
                <w:szCs w:val="24"/>
              </w:rPr>
              <w:t>原件/复印件</w:t>
            </w:r>
          </w:p>
        </w:tc>
        <w:tc>
          <w:tcPr>
            <w:tcW w:w="529" w:type="dxa"/>
            <w:vAlign w:val="center"/>
          </w:tcPr>
          <w:p>
            <w:pPr>
              <w:adjustRightInd w:val="0"/>
              <w:snapToGrid w:val="0"/>
              <w:ind w:firstLine="0" w:firstLineChars="0"/>
              <w:jc w:val="center"/>
              <w:rPr>
                <w:rFonts w:ascii="黑体" w:hAnsi="黑体" w:eastAsia="黑体" w:cs="黑体"/>
                <w:b/>
                <w:bCs/>
                <w:sz w:val="24"/>
                <w:szCs w:val="24"/>
              </w:rPr>
            </w:pPr>
            <w:r>
              <w:rPr>
                <w:rFonts w:hint="eastAsia" w:ascii="黑体" w:hAnsi="黑体" w:eastAsia="黑体" w:cs="黑体"/>
                <w:b/>
                <w:bCs/>
                <w:sz w:val="24"/>
                <w:szCs w:val="24"/>
              </w:rPr>
              <w:t>份数</w:t>
            </w:r>
          </w:p>
        </w:tc>
        <w:tc>
          <w:tcPr>
            <w:tcW w:w="710" w:type="dxa"/>
            <w:vAlign w:val="center"/>
          </w:tcPr>
          <w:p>
            <w:pPr>
              <w:adjustRightInd w:val="0"/>
              <w:snapToGrid w:val="0"/>
              <w:ind w:firstLine="0" w:firstLineChars="0"/>
              <w:jc w:val="center"/>
              <w:rPr>
                <w:rFonts w:ascii="黑体" w:hAnsi="黑体" w:eastAsia="黑体" w:cs="黑体"/>
                <w:b/>
                <w:bCs/>
                <w:sz w:val="24"/>
                <w:szCs w:val="24"/>
              </w:rPr>
            </w:pPr>
            <w:r>
              <w:rPr>
                <w:rFonts w:hint="eastAsia" w:ascii="黑体" w:hAnsi="黑体" w:eastAsia="黑体" w:cs="黑体"/>
                <w:b/>
                <w:bCs/>
                <w:sz w:val="24"/>
                <w:szCs w:val="24"/>
              </w:rPr>
              <w:t>纸质/电子</w:t>
            </w:r>
          </w:p>
        </w:tc>
        <w:tc>
          <w:tcPr>
            <w:tcW w:w="4223" w:type="dxa"/>
            <w:vAlign w:val="center"/>
          </w:tcPr>
          <w:p>
            <w:pPr>
              <w:adjustRightInd w:val="0"/>
              <w:snapToGrid w:val="0"/>
              <w:ind w:firstLine="0" w:firstLineChars="0"/>
              <w:jc w:val="center"/>
              <w:rPr>
                <w:rFonts w:ascii="黑体" w:hAnsi="黑体" w:eastAsia="黑体" w:cs="黑体"/>
                <w:b/>
                <w:bCs/>
                <w:sz w:val="24"/>
                <w:szCs w:val="24"/>
              </w:rPr>
            </w:pPr>
            <w:r>
              <w:rPr>
                <w:rFonts w:hint="eastAsia" w:ascii="黑体" w:hAnsi="黑体" w:eastAsia="黑体" w:cs="黑体"/>
                <w:b/>
                <w:bCs/>
                <w:sz w:val="24"/>
                <w:szCs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29" w:type="dxa"/>
            <w:vAlign w:val="center"/>
          </w:tcPr>
          <w:p>
            <w:pPr>
              <w:adjustRightInd w:val="0"/>
              <w:snapToGrid w:val="0"/>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454"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书面申请</w:t>
            </w:r>
          </w:p>
        </w:tc>
        <w:tc>
          <w:tcPr>
            <w:tcW w:w="1077"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加盖公章的原件</w:t>
            </w:r>
          </w:p>
        </w:tc>
        <w:tc>
          <w:tcPr>
            <w:tcW w:w="529"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710"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4223" w:type="dxa"/>
            <w:vAlign w:val="center"/>
          </w:tcPr>
          <w:p>
            <w:pPr>
              <w:adjustRightInd w:val="0"/>
              <w:snapToGrid w:val="0"/>
              <w:ind w:firstLine="0" w:firstLineChars="0"/>
              <w:jc w:val="left"/>
              <w:rPr>
                <w:rFonts w:ascii="仿宋" w:hAnsi="仿宋" w:eastAsia="仿宋" w:cs="仿宋"/>
                <w:sz w:val="21"/>
                <w:szCs w:val="21"/>
              </w:rPr>
            </w:pPr>
            <w:r>
              <w:rPr>
                <w:rFonts w:hint="eastAsia" w:ascii="仿宋" w:hAnsi="仿宋" w:eastAsia="仿宋" w:cs="仿宋"/>
                <w:sz w:val="21"/>
                <w:szCs w:val="21"/>
              </w:rPr>
              <w:t>内容包括但不限于说明需要登记的具体内容，超期限或无法原路退汇的原因，退汇同时是否发生货物退运。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529" w:type="dxa"/>
            <w:vAlign w:val="center"/>
          </w:tcPr>
          <w:p>
            <w:pPr>
              <w:adjustRightInd w:val="0"/>
              <w:snapToGrid w:val="0"/>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1454"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超期限或无法原路退汇的证明材料</w:t>
            </w:r>
          </w:p>
        </w:tc>
        <w:tc>
          <w:tcPr>
            <w:tcW w:w="1077"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原件或加盖公章的复印件</w:t>
            </w:r>
          </w:p>
        </w:tc>
        <w:tc>
          <w:tcPr>
            <w:tcW w:w="529"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710"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4223" w:type="dxa"/>
            <w:vAlign w:val="center"/>
          </w:tcPr>
          <w:p>
            <w:pPr>
              <w:adjustRightInd w:val="0"/>
              <w:snapToGrid w:val="0"/>
              <w:ind w:firstLine="0" w:firstLineChars="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发生超期限或无法原路退汇时提供。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529" w:type="dxa"/>
            <w:vAlign w:val="center"/>
          </w:tcPr>
          <w:p>
            <w:pPr>
              <w:adjustRightInd w:val="0"/>
              <w:snapToGrid w:val="0"/>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454"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原</w:t>
            </w:r>
            <w:r>
              <w:rPr>
                <w:rFonts w:hint="eastAsia" w:ascii="仿宋" w:hAnsi="仿宋" w:eastAsia="仿宋" w:cs="仿宋"/>
                <w:sz w:val="21"/>
                <w:szCs w:val="21"/>
                <w:lang w:eastAsia="zh-CN"/>
              </w:rPr>
              <w:t>付汇</w:t>
            </w:r>
            <w:r>
              <w:rPr>
                <w:rFonts w:hint="eastAsia" w:ascii="仿宋" w:hAnsi="仿宋" w:eastAsia="仿宋" w:cs="仿宋"/>
                <w:sz w:val="21"/>
                <w:szCs w:val="21"/>
              </w:rPr>
              <w:t>/收汇凭证</w:t>
            </w:r>
          </w:p>
        </w:tc>
        <w:tc>
          <w:tcPr>
            <w:tcW w:w="1077"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原件或加盖公章的复印件</w:t>
            </w:r>
          </w:p>
        </w:tc>
        <w:tc>
          <w:tcPr>
            <w:tcW w:w="529"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710"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4223" w:type="dxa"/>
            <w:vAlign w:val="center"/>
          </w:tcPr>
          <w:p>
            <w:pPr>
              <w:adjustRightInd w:val="0"/>
              <w:snapToGrid w:val="0"/>
              <w:ind w:firstLine="0" w:firstLineChars="0"/>
              <w:jc w:val="lef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529" w:type="dxa"/>
            <w:vAlign w:val="center"/>
          </w:tcPr>
          <w:p>
            <w:pPr>
              <w:adjustRightInd w:val="0"/>
              <w:snapToGrid w:val="0"/>
              <w:ind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54"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lang w:eastAsia="zh-CN"/>
              </w:rPr>
              <w:t>进出口货物</w:t>
            </w:r>
            <w:r>
              <w:rPr>
                <w:rFonts w:hint="eastAsia" w:ascii="仿宋" w:hAnsi="仿宋" w:eastAsia="仿宋" w:cs="仿宋"/>
                <w:sz w:val="21"/>
                <w:szCs w:val="21"/>
              </w:rPr>
              <w:t>报关单</w:t>
            </w:r>
          </w:p>
        </w:tc>
        <w:tc>
          <w:tcPr>
            <w:tcW w:w="1077"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加盖公章的复印件</w:t>
            </w:r>
          </w:p>
        </w:tc>
        <w:tc>
          <w:tcPr>
            <w:tcW w:w="529"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710"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4223" w:type="dxa"/>
            <w:vAlign w:val="center"/>
          </w:tcPr>
          <w:p>
            <w:pPr>
              <w:ind w:firstLine="0" w:firstLineChars="0"/>
              <w:jc w:val="left"/>
              <w:rPr>
                <w:rFonts w:ascii="仿宋" w:hAnsi="仿宋" w:eastAsia="仿宋" w:cs="仿宋"/>
                <w:sz w:val="21"/>
                <w:szCs w:val="21"/>
              </w:rPr>
            </w:pPr>
            <w:r>
              <w:rPr>
                <w:rFonts w:hint="eastAsia" w:ascii="仿宋" w:hAnsi="仿宋" w:eastAsia="仿宋" w:cs="仿宋"/>
                <w:sz w:val="21"/>
                <w:szCs w:val="21"/>
              </w:rPr>
              <w:t>付汇退汇发生货物退运时提供出口报关单，收汇退汇发生货物退运时提供进口报关单。</w:t>
            </w:r>
            <w:r>
              <w:rPr>
                <w:rFonts w:hint="eastAsia" w:ascii="仿宋" w:hAnsi="仿宋" w:eastAsia="仿宋" w:cs="仿宋"/>
                <w:sz w:val="21"/>
                <w:szCs w:val="21"/>
                <w:lang w:eastAsia="zh-CN"/>
              </w:rPr>
              <w:t>货物不报关的，可提供运输单据等其他材料。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529" w:type="dxa"/>
            <w:vAlign w:val="center"/>
          </w:tcPr>
          <w:p>
            <w:pPr>
              <w:adjustRightInd w:val="0"/>
              <w:snapToGrid w:val="0"/>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454"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原进/出口合同</w:t>
            </w:r>
          </w:p>
        </w:tc>
        <w:tc>
          <w:tcPr>
            <w:tcW w:w="1077"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原件或加盖公章的复印件</w:t>
            </w:r>
          </w:p>
        </w:tc>
        <w:tc>
          <w:tcPr>
            <w:tcW w:w="529"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1</w:t>
            </w:r>
          </w:p>
        </w:tc>
        <w:tc>
          <w:tcPr>
            <w:tcW w:w="710" w:type="dxa"/>
            <w:vAlign w:val="center"/>
          </w:tcPr>
          <w:p>
            <w:pPr>
              <w:adjustRightInd w:val="0"/>
              <w:snapToGrid w:val="0"/>
              <w:ind w:firstLine="0" w:firstLineChars="0"/>
              <w:jc w:val="center"/>
              <w:rPr>
                <w:rFonts w:ascii="仿宋" w:hAnsi="仿宋" w:eastAsia="仿宋" w:cs="仿宋"/>
                <w:sz w:val="21"/>
                <w:szCs w:val="21"/>
              </w:rPr>
            </w:pPr>
            <w:r>
              <w:rPr>
                <w:rFonts w:hint="eastAsia" w:ascii="仿宋" w:hAnsi="仿宋" w:eastAsia="仿宋" w:cs="仿宋"/>
                <w:sz w:val="21"/>
                <w:szCs w:val="21"/>
              </w:rPr>
              <w:t>纸质</w:t>
            </w:r>
          </w:p>
        </w:tc>
        <w:tc>
          <w:tcPr>
            <w:tcW w:w="4223" w:type="dxa"/>
            <w:vAlign w:val="center"/>
          </w:tcPr>
          <w:p>
            <w:pPr>
              <w:ind w:firstLine="0" w:firstLineChars="0"/>
              <w:jc w:val="left"/>
              <w:rPr>
                <w:rFonts w:ascii="仿宋" w:hAnsi="仿宋" w:eastAsia="仿宋" w:cs="仿宋"/>
                <w:sz w:val="21"/>
                <w:szCs w:val="21"/>
              </w:rPr>
            </w:pPr>
            <w:r>
              <w:rPr>
                <w:rFonts w:hint="eastAsia" w:ascii="仿宋" w:hAnsi="仿宋" w:eastAsia="仿宋" w:cs="仿宋"/>
                <w:sz w:val="21"/>
                <w:szCs w:val="21"/>
              </w:rPr>
              <w:t>因错误汇出以外其他原因产生的贸易付汇退汇，提供原进口合同；因错误汇入以外的其他原因产生的贸易收汇退汇，提供原出口合同。</w:t>
            </w:r>
          </w:p>
        </w:tc>
      </w:tr>
    </w:tbl>
    <w:p>
      <w:pPr>
        <w:adjustRightInd w:val="0"/>
        <w:snapToGrid w:val="0"/>
        <w:spacing w:line="360" w:lineRule="auto"/>
        <w:ind w:firstLine="600"/>
        <w:rPr>
          <w:rFonts w:eastAsia="黑体"/>
          <w:sz w:val="30"/>
          <w:szCs w:val="30"/>
        </w:rPr>
      </w:pPr>
      <w:r>
        <w:rPr>
          <w:rFonts w:hint="eastAsia" w:eastAsia="黑体"/>
          <w:sz w:val="30"/>
          <w:szCs w:val="30"/>
        </w:rPr>
        <w:t>十、申请接受</w:t>
      </w:r>
    </w:p>
    <w:p>
      <w:pPr>
        <w:adjustRightInd w:val="0"/>
        <w:snapToGrid w:val="0"/>
        <w:spacing w:line="360" w:lineRule="auto"/>
        <w:ind w:firstLine="600"/>
        <w:rPr>
          <w:rFonts w:eastAsia="仿宋_GB2312"/>
          <w:sz w:val="30"/>
          <w:szCs w:val="30"/>
        </w:rPr>
      </w:pPr>
      <w:r>
        <w:rPr>
          <w:rFonts w:eastAsia="仿宋_GB2312"/>
          <w:sz w:val="30"/>
          <w:szCs w:val="30"/>
        </w:rPr>
        <w:t>申请人可通过窗口</w:t>
      </w:r>
      <w:r>
        <w:rPr>
          <w:rFonts w:hint="eastAsia" w:eastAsia="仿宋_GB2312"/>
          <w:sz w:val="30"/>
          <w:szCs w:val="30"/>
        </w:rPr>
        <w:t>、邮寄</w:t>
      </w:r>
      <w:r>
        <w:rPr>
          <w:rFonts w:hint="eastAsia" w:eastAsia="仿宋_GB2312"/>
          <w:sz w:val="30"/>
          <w:szCs w:val="30"/>
          <w:lang w:eastAsia="zh-CN"/>
        </w:rPr>
        <w:t>、外汇局政务服务平台（</w:t>
      </w:r>
      <w:r>
        <w:rPr>
          <w:rFonts w:hint="eastAsia" w:eastAsia="仿宋_GB2312"/>
          <w:sz w:val="30"/>
          <w:szCs w:val="30"/>
          <w:lang w:val="en-US" w:eastAsia="zh-CN"/>
        </w:rPr>
        <w:fldChar w:fldCharType="begin"/>
      </w:r>
      <w:r>
        <w:rPr>
          <w:rFonts w:hint="eastAsia" w:eastAsia="仿宋_GB2312"/>
          <w:sz w:val="30"/>
          <w:szCs w:val="30"/>
          <w:lang w:val="en-US" w:eastAsia="zh-CN"/>
        </w:rPr>
        <w:instrText xml:space="preserve"> HYPERLINK "zwfw.safe.gov.cn/asone）" </w:instrText>
      </w:r>
      <w:r>
        <w:rPr>
          <w:rFonts w:hint="eastAsia" w:eastAsia="仿宋_GB2312"/>
          <w:sz w:val="30"/>
          <w:szCs w:val="30"/>
          <w:lang w:val="en-US" w:eastAsia="zh-CN"/>
        </w:rPr>
        <w:fldChar w:fldCharType="separate"/>
      </w:r>
      <w:r>
        <w:rPr>
          <w:rStyle w:val="6"/>
          <w:rFonts w:hint="eastAsia" w:eastAsia="仿宋_GB2312"/>
          <w:sz w:val="30"/>
          <w:szCs w:val="30"/>
          <w:lang w:val="en-US" w:eastAsia="zh-CN"/>
        </w:rPr>
        <w:t>zwfw.safe.gov.cn/asone</w:t>
      </w:r>
      <w:r>
        <w:rPr>
          <w:rStyle w:val="6"/>
          <w:rFonts w:hint="eastAsia" w:eastAsia="仿宋_GB2312"/>
          <w:sz w:val="30"/>
          <w:szCs w:val="30"/>
          <w:lang w:eastAsia="zh-CN"/>
        </w:rPr>
        <w:t>）</w:t>
      </w:r>
      <w:r>
        <w:rPr>
          <w:rFonts w:hint="eastAsia" w:eastAsia="仿宋_GB2312"/>
          <w:sz w:val="30"/>
          <w:szCs w:val="30"/>
          <w:lang w:val="en-US" w:eastAsia="zh-CN"/>
        </w:rPr>
        <w:fldChar w:fldCharType="end"/>
      </w:r>
      <w:r>
        <w:rPr>
          <w:rFonts w:hint="eastAsia" w:eastAsia="仿宋_GB2312"/>
          <w:sz w:val="30"/>
          <w:szCs w:val="30"/>
        </w:rPr>
        <w:t>等</w:t>
      </w:r>
      <w:r>
        <w:rPr>
          <w:rFonts w:eastAsia="仿宋_GB2312"/>
          <w:sz w:val="30"/>
          <w:szCs w:val="30"/>
        </w:rPr>
        <w:t>方式提交材料。</w:t>
      </w:r>
    </w:p>
    <w:p>
      <w:pPr>
        <w:adjustRightInd w:val="0"/>
        <w:snapToGrid w:val="0"/>
        <w:spacing w:line="360" w:lineRule="auto"/>
        <w:ind w:firstLine="600"/>
        <w:rPr>
          <w:rFonts w:eastAsia="黑体"/>
          <w:sz w:val="30"/>
          <w:szCs w:val="30"/>
        </w:rPr>
      </w:pPr>
      <w:r>
        <w:rPr>
          <w:rFonts w:hint="eastAsia" w:eastAsia="黑体"/>
          <w:sz w:val="30"/>
          <w:szCs w:val="30"/>
        </w:rPr>
        <w:t>十一、</w:t>
      </w:r>
      <w:r>
        <w:rPr>
          <w:rFonts w:eastAsia="黑体"/>
          <w:sz w:val="30"/>
          <w:szCs w:val="30"/>
        </w:rPr>
        <w:t>基本办理流程</w:t>
      </w:r>
    </w:p>
    <w:p>
      <w:pPr>
        <w:adjustRightInd w:val="0"/>
        <w:snapToGrid w:val="0"/>
        <w:spacing w:line="360" w:lineRule="auto"/>
        <w:ind w:firstLine="600"/>
        <w:jc w:val="left"/>
        <w:rPr>
          <w:rFonts w:eastAsia="仿宋_GB2312"/>
          <w:sz w:val="30"/>
          <w:szCs w:val="30"/>
        </w:rPr>
      </w:pPr>
      <w:r>
        <w:rPr>
          <w:rFonts w:eastAsia="仿宋_GB2312"/>
          <w:sz w:val="30"/>
          <w:szCs w:val="30"/>
        </w:rPr>
        <w:t>1.申请人提交申请；</w:t>
      </w:r>
      <w:bookmarkStart w:id="11" w:name="_GoBack"/>
      <w:bookmarkEnd w:id="11"/>
    </w:p>
    <w:p>
      <w:pPr>
        <w:adjustRightInd w:val="0"/>
        <w:snapToGrid w:val="0"/>
        <w:spacing w:line="360" w:lineRule="auto"/>
        <w:ind w:firstLine="600"/>
        <w:jc w:val="left"/>
        <w:rPr>
          <w:rFonts w:eastAsia="仿宋_GB2312"/>
          <w:sz w:val="30"/>
          <w:szCs w:val="30"/>
        </w:rPr>
      </w:pPr>
      <w:r>
        <w:rPr>
          <w:rFonts w:eastAsia="仿宋_GB2312"/>
          <w:sz w:val="30"/>
          <w:szCs w:val="30"/>
        </w:rPr>
        <w:t>2.决定是否予以受理；</w:t>
      </w:r>
    </w:p>
    <w:p>
      <w:pPr>
        <w:adjustRightInd w:val="0"/>
        <w:snapToGrid w:val="0"/>
        <w:spacing w:line="360" w:lineRule="auto"/>
        <w:ind w:firstLine="600"/>
        <w:jc w:val="left"/>
        <w:rPr>
          <w:rFonts w:eastAsia="仿宋_GB2312"/>
          <w:sz w:val="30"/>
          <w:szCs w:val="30"/>
        </w:rPr>
      </w:pPr>
      <w:r>
        <w:rPr>
          <w:rFonts w:eastAsia="仿宋_GB2312"/>
          <w:sz w:val="30"/>
          <w:szCs w:val="30"/>
        </w:rPr>
        <w:t>3.不予受理的，出具不予受理通知书；受理的，出具受理通知书，进行审查报批；</w:t>
      </w:r>
    </w:p>
    <w:p>
      <w:pPr>
        <w:adjustRightInd w:val="0"/>
        <w:snapToGrid w:val="0"/>
        <w:spacing w:line="360" w:lineRule="auto"/>
        <w:ind w:firstLine="600"/>
        <w:contextualSpacing/>
        <w:jc w:val="left"/>
        <w:rPr>
          <w:rFonts w:eastAsia="仿宋_GB2312"/>
          <w:sz w:val="30"/>
          <w:szCs w:val="30"/>
        </w:rPr>
      </w:pPr>
      <w:r>
        <w:rPr>
          <w:rFonts w:eastAsia="仿宋_GB2312"/>
          <w:sz w:val="30"/>
          <w:szCs w:val="30"/>
        </w:rPr>
        <w:t>4.不予许可的，出具不予许可</w:t>
      </w:r>
      <w:r>
        <w:rPr>
          <w:rFonts w:hint="eastAsia" w:eastAsia="仿宋_GB2312"/>
          <w:sz w:val="30"/>
          <w:szCs w:val="30"/>
        </w:rPr>
        <w:t>决定</w:t>
      </w:r>
      <w:r>
        <w:rPr>
          <w:rFonts w:eastAsia="仿宋_GB2312"/>
          <w:sz w:val="30"/>
          <w:szCs w:val="30"/>
        </w:rPr>
        <w:t>书。许可的，向申请人出具《贸易外汇业务登记表》。</w:t>
      </w:r>
    </w:p>
    <w:p>
      <w:pPr>
        <w:adjustRightInd w:val="0"/>
        <w:snapToGrid w:val="0"/>
        <w:spacing w:line="360" w:lineRule="auto"/>
        <w:ind w:firstLine="600"/>
        <w:jc w:val="left"/>
        <w:rPr>
          <w:rFonts w:eastAsia="仿宋_GB2312"/>
          <w:sz w:val="30"/>
          <w:szCs w:val="30"/>
        </w:rPr>
      </w:pPr>
      <w:r>
        <w:rPr>
          <w:rFonts w:eastAsia="仿宋_GB2312"/>
          <w:sz w:val="30"/>
          <w:szCs w:val="30"/>
        </w:rPr>
        <w:t>5.材料不全或不符合法定形式的，一次性告知补正材料，并出具《行政许可补正通知书》。</w:t>
      </w:r>
    </w:p>
    <w:p>
      <w:pPr>
        <w:adjustRightInd w:val="0"/>
        <w:snapToGrid w:val="0"/>
        <w:spacing w:line="360" w:lineRule="auto"/>
        <w:ind w:firstLine="600"/>
        <w:jc w:val="left"/>
        <w:rPr>
          <w:rFonts w:eastAsia="黑体"/>
          <w:sz w:val="30"/>
          <w:szCs w:val="30"/>
        </w:rPr>
      </w:pPr>
      <w:r>
        <w:rPr>
          <w:rFonts w:hint="eastAsia" w:eastAsia="黑体"/>
          <w:sz w:val="30"/>
          <w:szCs w:val="30"/>
        </w:rPr>
        <w:t>十二、</w:t>
      </w:r>
      <w:r>
        <w:rPr>
          <w:rFonts w:eastAsia="黑体"/>
          <w:sz w:val="30"/>
          <w:szCs w:val="30"/>
        </w:rPr>
        <w:t>办理方式</w:t>
      </w:r>
    </w:p>
    <w:p>
      <w:pPr>
        <w:adjustRightInd w:val="0"/>
        <w:snapToGrid w:val="0"/>
        <w:spacing w:line="360" w:lineRule="auto"/>
        <w:ind w:firstLine="600"/>
        <w:contextualSpacing/>
        <w:jc w:val="left"/>
        <w:rPr>
          <w:rFonts w:eastAsia="仿宋_GB2312"/>
          <w:sz w:val="30"/>
          <w:szCs w:val="30"/>
        </w:rPr>
      </w:pPr>
      <w:r>
        <w:rPr>
          <w:rFonts w:eastAsia="仿宋_GB2312"/>
          <w:sz w:val="30"/>
          <w:szCs w:val="30"/>
        </w:rPr>
        <w:t>一般程序：申请、受理、审查、出具《贸易外汇业务登记表》。</w:t>
      </w:r>
    </w:p>
    <w:p>
      <w:pPr>
        <w:adjustRightInd w:val="0"/>
        <w:snapToGrid w:val="0"/>
        <w:spacing w:line="360" w:lineRule="auto"/>
        <w:ind w:firstLine="600"/>
        <w:rPr>
          <w:rFonts w:eastAsia="黑体"/>
          <w:sz w:val="30"/>
          <w:szCs w:val="30"/>
        </w:rPr>
      </w:pPr>
      <w:r>
        <w:rPr>
          <w:rFonts w:hint="eastAsia" w:eastAsia="黑体"/>
          <w:sz w:val="30"/>
          <w:szCs w:val="30"/>
        </w:rPr>
        <w:t>十三、</w:t>
      </w:r>
      <w:r>
        <w:rPr>
          <w:rFonts w:eastAsia="黑体"/>
          <w:sz w:val="30"/>
          <w:szCs w:val="30"/>
        </w:rPr>
        <w:t>审批时限</w:t>
      </w:r>
    </w:p>
    <w:p>
      <w:pPr>
        <w:adjustRightInd w:val="0"/>
        <w:snapToGrid w:val="0"/>
        <w:spacing w:line="360" w:lineRule="auto"/>
        <w:ind w:firstLine="600"/>
        <w:rPr>
          <w:rFonts w:eastAsia="仿宋_GB2312"/>
          <w:sz w:val="30"/>
          <w:szCs w:val="30"/>
        </w:rPr>
      </w:pPr>
      <w:r>
        <w:rPr>
          <w:rFonts w:eastAsia="仿宋_GB2312"/>
          <w:sz w:val="30"/>
          <w:szCs w:val="30"/>
        </w:rPr>
        <w:t>20个工作日。</w:t>
      </w:r>
    </w:p>
    <w:p>
      <w:pPr>
        <w:adjustRightInd w:val="0"/>
        <w:snapToGrid w:val="0"/>
        <w:spacing w:line="360" w:lineRule="auto"/>
        <w:ind w:firstLine="600"/>
        <w:rPr>
          <w:rFonts w:eastAsia="黑体"/>
          <w:sz w:val="30"/>
          <w:szCs w:val="30"/>
        </w:rPr>
      </w:pPr>
      <w:r>
        <w:rPr>
          <w:rFonts w:hint="eastAsia" w:eastAsia="黑体"/>
          <w:sz w:val="30"/>
          <w:szCs w:val="30"/>
        </w:rPr>
        <w:t>十四、</w:t>
      </w:r>
      <w:r>
        <w:rPr>
          <w:rFonts w:eastAsia="黑体"/>
          <w:sz w:val="30"/>
          <w:szCs w:val="30"/>
        </w:rPr>
        <w:t>审批收费依据及标准</w:t>
      </w:r>
    </w:p>
    <w:p>
      <w:pPr>
        <w:adjustRightInd w:val="0"/>
        <w:snapToGrid w:val="0"/>
        <w:spacing w:line="360" w:lineRule="auto"/>
        <w:ind w:firstLine="600"/>
        <w:rPr>
          <w:rFonts w:eastAsia="仿宋_GB2312"/>
          <w:sz w:val="30"/>
          <w:szCs w:val="30"/>
        </w:rPr>
      </w:pPr>
      <w:r>
        <w:rPr>
          <w:rFonts w:eastAsia="仿宋_GB2312"/>
          <w:sz w:val="30"/>
          <w:szCs w:val="30"/>
        </w:rPr>
        <w:t>不收费。</w:t>
      </w:r>
    </w:p>
    <w:p>
      <w:pPr>
        <w:adjustRightInd w:val="0"/>
        <w:snapToGrid w:val="0"/>
        <w:spacing w:line="360" w:lineRule="auto"/>
        <w:ind w:firstLine="600"/>
        <w:rPr>
          <w:rFonts w:eastAsia="黑体"/>
          <w:sz w:val="30"/>
          <w:szCs w:val="30"/>
        </w:rPr>
      </w:pPr>
      <w:r>
        <w:rPr>
          <w:rFonts w:hint="eastAsia" w:eastAsia="黑体"/>
          <w:sz w:val="30"/>
          <w:szCs w:val="30"/>
        </w:rPr>
        <w:t>十五、</w:t>
      </w:r>
      <w:r>
        <w:rPr>
          <w:rFonts w:eastAsia="黑体"/>
          <w:sz w:val="30"/>
          <w:szCs w:val="30"/>
        </w:rPr>
        <w:t>审批结果</w:t>
      </w:r>
    </w:p>
    <w:p>
      <w:pPr>
        <w:adjustRightInd w:val="0"/>
        <w:snapToGrid w:val="0"/>
        <w:spacing w:line="360" w:lineRule="auto"/>
        <w:ind w:firstLine="600"/>
        <w:contextualSpacing/>
        <w:rPr>
          <w:rFonts w:eastAsia="仿宋_GB2312"/>
          <w:sz w:val="30"/>
          <w:szCs w:val="30"/>
        </w:rPr>
      </w:pPr>
      <w:r>
        <w:rPr>
          <w:rFonts w:eastAsia="仿宋_GB2312"/>
          <w:sz w:val="30"/>
          <w:szCs w:val="30"/>
        </w:rPr>
        <w:t>《贸易外汇业务登记表》</w:t>
      </w:r>
      <w:r>
        <w:rPr>
          <w:rFonts w:hint="eastAsia" w:eastAsia="仿宋_GB2312"/>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十六、</w:t>
      </w:r>
      <w:r>
        <w:rPr>
          <w:rFonts w:eastAsia="黑体"/>
          <w:sz w:val="30"/>
          <w:szCs w:val="30"/>
        </w:rPr>
        <w:t>结果送达</w:t>
      </w:r>
    </w:p>
    <w:p>
      <w:pPr>
        <w:adjustRightInd w:val="0"/>
        <w:snapToGrid w:val="0"/>
        <w:spacing w:line="360" w:lineRule="auto"/>
        <w:ind w:firstLine="600"/>
        <w:rPr>
          <w:rFonts w:eastAsia="仿宋_GB2312"/>
          <w:sz w:val="30"/>
          <w:szCs w:val="30"/>
        </w:rPr>
      </w:pPr>
      <w:r>
        <w:rPr>
          <w:rFonts w:eastAsia="仿宋_GB2312"/>
          <w:sz w:val="30"/>
          <w:szCs w:val="30"/>
        </w:rPr>
        <w:t>通过现场告知或电话通知申请人，并通过现场领取或邮寄方式将结果送达。</w:t>
      </w:r>
    </w:p>
    <w:p>
      <w:pPr>
        <w:adjustRightInd w:val="0"/>
        <w:snapToGrid w:val="0"/>
        <w:spacing w:line="360" w:lineRule="auto"/>
        <w:ind w:firstLine="600"/>
        <w:rPr>
          <w:rFonts w:eastAsia="黑体"/>
          <w:sz w:val="30"/>
          <w:szCs w:val="30"/>
        </w:rPr>
      </w:pPr>
      <w:r>
        <w:rPr>
          <w:rFonts w:hint="eastAsia" w:eastAsia="黑体"/>
          <w:sz w:val="30"/>
          <w:szCs w:val="30"/>
        </w:rPr>
        <w:t>十七、</w:t>
      </w:r>
      <w:r>
        <w:rPr>
          <w:rFonts w:eastAsia="黑体"/>
          <w:sz w:val="30"/>
          <w:szCs w:val="30"/>
        </w:rPr>
        <w:t>申请人权利和义务</w:t>
      </w:r>
    </w:p>
    <w:p>
      <w:pPr>
        <w:adjustRightInd w:val="0"/>
        <w:snapToGrid w:val="0"/>
        <w:spacing w:line="360" w:lineRule="auto"/>
        <w:ind w:firstLine="600"/>
        <w:rPr>
          <w:rFonts w:eastAsia="仿宋_GB2312"/>
          <w:sz w:val="30"/>
          <w:szCs w:val="30"/>
        </w:rPr>
      </w:pPr>
      <w:r>
        <w:rPr>
          <w:rFonts w:eastAsia="仿宋_GB2312"/>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eastAsia="黑体"/>
          <w:sz w:val="30"/>
          <w:szCs w:val="30"/>
        </w:rPr>
      </w:pPr>
      <w:r>
        <w:rPr>
          <w:rFonts w:hint="eastAsia" w:eastAsia="黑体"/>
          <w:sz w:val="30"/>
          <w:szCs w:val="30"/>
        </w:rPr>
        <w:t>十八、</w:t>
      </w:r>
      <w:r>
        <w:rPr>
          <w:rFonts w:eastAsia="黑体"/>
          <w:sz w:val="30"/>
          <w:szCs w:val="30"/>
        </w:rPr>
        <w:t>事项审查类型</w:t>
      </w:r>
    </w:p>
    <w:p>
      <w:pPr>
        <w:adjustRightInd w:val="0"/>
        <w:snapToGrid w:val="0"/>
        <w:spacing w:line="360" w:lineRule="auto"/>
        <w:ind w:firstLine="600"/>
        <w:rPr>
          <w:rFonts w:eastAsia="仿宋_GB2312"/>
          <w:sz w:val="30"/>
          <w:szCs w:val="30"/>
        </w:rPr>
      </w:pPr>
      <w:r>
        <w:rPr>
          <w:rFonts w:eastAsia="仿宋_GB2312"/>
          <w:sz w:val="30"/>
          <w:szCs w:val="30"/>
        </w:rPr>
        <w:t>前审后批</w:t>
      </w:r>
      <w:r>
        <w:rPr>
          <w:rFonts w:hint="eastAsia" w:eastAsia="仿宋_GB2312"/>
          <w:sz w:val="30"/>
          <w:szCs w:val="30"/>
        </w:rPr>
        <w:t>。</w:t>
      </w:r>
    </w:p>
    <w:p>
      <w:pPr>
        <w:adjustRightInd w:val="0"/>
        <w:snapToGrid w:val="0"/>
        <w:spacing w:line="360" w:lineRule="auto"/>
        <w:ind w:firstLine="600"/>
        <w:rPr>
          <w:rFonts w:eastAsia="黑体"/>
          <w:sz w:val="30"/>
          <w:szCs w:val="30"/>
        </w:rPr>
      </w:pPr>
      <w:r>
        <w:rPr>
          <w:rFonts w:hint="eastAsia" w:eastAsia="黑体"/>
          <w:sz w:val="30"/>
          <w:szCs w:val="30"/>
        </w:rPr>
        <w:t>十九、咨询途径、监督和投诉、办公地址和时间、公开查询方式等</w:t>
      </w:r>
    </w:p>
    <w:p>
      <w:pPr>
        <w:adjustRightInd w:val="0"/>
        <w:snapToGrid w:val="0"/>
        <w:spacing w:line="360" w:lineRule="auto"/>
        <w:ind w:firstLine="600"/>
        <w:rPr>
          <w:rFonts w:eastAsia="仿宋_GB2312"/>
          <w:sz w:val="30"/>
          <w:szCs w:val="30"/>
        </w:rPr>
      </w:pPr>
      <w:r>
        <w:rPr>
          <w:rFonts w:hint="eastAsia" w:eastAsia="仿宋_GB2312"/>
          <w:sz w:val="30"/>
          <w:szCs w:val="30"/>
        </w:rPr>
        <w:t>向注册所在地外汇局进行咨询、办理进程查询、监督和投诉等，可通过国家外汇管理局官方互联网站www.safe.gov.cn链接至江苏</w:t>
      </w:r>
      <w:r>
        <w:rPr>
          <w:rFonts w:hint="eastAsia" w:eastAsia="仿宋_GB2312"/>
          <w:sz w:val="30"/>
          <w:szCs w:val="30"/>
          <w:lang w:eastAsia="zh-CN"/>
        </w:rPr>
        <w:t>省</w:t>
      </w:r>
      <w:r>
        <w:rPr>
          <w:rFonts w:hint="eastAsia" w:eastAsia="仿宋_GB2312"/>
          <w:sz w:val="30"/>
          <w:szCs w:val="30"/>
        </w:rPr>
        <w:t>分局“业务指南”栏目中公布的电话进行。</w:t>
      </w:r>
    </w:p>
    <w:p>
      <w:pPr>
        <w:adjustRightInd w:val="0"/>
        <w:snapToGrid w:val="0"/>
        <w:spacing w:line="360" w:lineRule="auto"/>
        <w:ind w:firstLine="600"/>
        <w:rPr>
          <w:rFonts w:eastAsia="黑体"/>
          <w:sz w:val="30"/>
          <w:szCs w:val="30"/>
        </w:rPr>
      </w:pPr>
      <w:r>
        <w:rPr>
          <w:rFonts w:hint="eastAsia" w:eastAsia="黑体"/>
          <w:sz w:val="30"/>
          <w:szCs w:val="30"/>
        </w:rPr>
        <w:t>二十、</w:t>
      </w:r>
      <w:r>
        <w:rPr>
          <w:rFonts w:eastAsia="黑体"/>
          <w:sz w:val="30"/>
          <w:szCs w:val="30"/>
        </w:rPr>
        <w:t>禁止性要求</w:t>
      </w:r>
    </w:p>
    <w:p>
      <w:pPr>
        <w:adjustRightInd w:val="0"/>
        <w:snapToGrid w:val="0"/>
        <w:spacing w:line="360" w:lineRule="auto"/>
        <w:ind w:firstLine="600"/>
        <w:rPr>
          <w:rFonts w:eastAsia="仿宋_GB2312"/>
          <w:sz w:val="30"/>
          <w:szCs w:val="30"/>
        </w:rPr>
      </w:pPr>
      <w:r>
        <w:rPr>
          <w:rFonts w:eastAsia="仿宋_GB2312"/>
          <w:sz w:val="30"/>
          <w:szCs w:val="30"/>
        </w:rPr>
        <w:t>如符合上述条件，不存在不予许可的情况。</w:t>
      </w:r>
    </w:p>
    <w:p>
      <w:pPr>
        <w:adjustRightInd w:val="0"/>
        <w:snapToGrid w:val="0"/>
        <w:spacing w:line="360" w:lineRule="auto"/>
        <w:ind w:firstLine="600"/>
        <w:rPr>
          <w:rFonts w:eastAsia="黑体"/>
          <w:sz w:val="30"/>
          <w:szCs w:val="30"/>
        </w:rPr>
      </w:pPr>
      <w:r>
        <w:rPr>
          <w:rFonts w:hint="eastAsia" w:eastAsia="黑体"/>
          <w:sz w:val="30"/>
          <w:szCs w:val="30"/>
        </w:rPr>
        <w:t>二十一、</w:t>
      </w:r>
      <w:r>
        <w:rPr>
          <w:rFonts w:eastAsia="黑体"/>
          <w:sz w:val="30"/>
          <w:szCs w:val="30"/>
        </w:rPr>
        <w:t>申请材料示范文本</w:t>
      </w:r>
    </w:p>
    <w:p>
      <w:pPr>
        <w:adjustRightInd w:val="0"/>
        <w:snapToGrid w:val="0"/>
        <w:spacing w:line="360" w:lineRule="auto"/>
        <w:ind w:firstLine="600"/>
        <w:rPr>
          <w:rFonts w:eastAsia="仿宋_GB2312"/>
          <w:sz w:val="30"/>
          <w:szCs w:val="30"/>
        </w:rPr>
      </w:pPr>
      <w:r>
        <w:rPr>
          <w:rFonts w:eastAsia="仿宋_GB2312"/>
          <w:sz w:val="30"/>
          <w:szCs w:val="30"/>
        </w:rPr>
        <w:t>无固定格式，</w:t>
      </w:r>
      <w:r>
        <w:rPr>
          <w:rFonts w:hint="eastAsia" w:eastAsia="仿宋_GB2312"/>
          <w:sz w:val="30"/>
          <w:szCs w:val="30"/>
        </w:rPr>
        <w:t>有关内容要求详见“九、申请材料”。</w:t>
      </w:r>
    </w:p>
    <w:p>
      <w:pPr>
        <w:adjustRightInd w:val="0"/>
        <w:snapToGrid w:val="0"/>
        <w:spacing w:line="360" w:lineRule="auto"/>
        <w:ind w:firstLine="600"/>
        <w:rPr>
          <w:rFonts w:eastAsia="黑体"/>
          <w:sz w:val="30"/>
          <w:szCs w:val="30"/>
        </w:rPr>
      </w:pPr>
      <w:r>
        <w:rPr>
          <w:rFonts w:hint="eastAsia" w:eastAsia="黑体"/>
          <w:sz w:val="30"/>
          <w:szCs w:val="30"/>
        </w:rPr>
        <w:t>二十二、</w:t>
      </w:r>
      <w:r>
        <w:rPr>
          <w:rFonts w:eastAsia="黑体"/>
          <w:sz w:val="30"/>
          <w:szCs w:val="30"/>
        </w:rPr>
        <w:t>常见问题解答</w:t>
      </w:r>
    </w:p>
    <w:p>
      <w:pPr>
        <w:adjustRightInd w:val="0"/>
        <w:snapToGrid w:val="0"/>
        <w:spacing w:line="360" w:lineRule="auto"/>
        <w:ind w:firstLine="600" w:firstLineChars="0"/>
        <w:rPr>
          <w:rFonts w:eastAsia="仿宋_GB2312"/>
          <w:sz w:val="30"/>
          <w:szCs w:val="30"/>
        </w:rPr>
      </w:pPr>
      <w:r>
        <w:rPr>
          <w:rFonts w:hint="eastAsia" w:eastAsia="仿宋_GB2312"/>
          <w:sz w:val="30"/>
          <w:szCs w:val="30"/>
        </w:rPr>
        <w:t>1.</w:t>
      </w:r>
      <w:r>
        <w:rPr>
          <w:rFonts w:eastAsia="仿宋_GB2312"/>
          <w:sz w:val="30"/>
          <w:szCs w:val="30"/>
        </w:rPr>
        <w:t>审批时限在20个工作日以内。</w:t>
      </w:r>
    </w:p>
    <w:p>
      <w:pPr>
        <w:adjustRightInd w:val="0"/>
        <w:snapToGrid w:val="0"/>
        <w:spacing w:line="360" w:lineRule="auto"/>
        <w:ind w:firstLine="600"/>
        <w:rPr>
          <w:rFonts w:eastAsia="仿宋_GB2312"/>
          <w:sz w:val="30"/>
          <w:szCs w:val="30"/>
        </w:rPr>
      </w:pPr>
      <w:r>
        <w:rPr>
          <w:rFonts w:eastAsia="仿宋_GB2312"/>
          <w:sz w:val="30"/>
          <w:szCs w:val="30"/>
        </w:rPr>
        <w:t>2.</w:t>
      </w:r>
      <w:r>
        <w:rPr>
          <w:rFonts w:hint="eastAsia" w:eastAsia="仿宋_GB2312"/>
          <w:sz w:val="30"/>
          <w:szCs w:val="30"/>
        </w:rPr>
        <w:t>《贸易外汇业务登记表》有效期原则上不超过1个月。</w:t>
      </w:r>
    </w:p>
    <w:p>
      <w:pPr>
        <w:adjustRightInd w:val="0"/>
        <w:snapToGrid w:val="0"/>
        <w:spacing w:line="360" w:lineRule="auto"/>
        <w:ind w:firstLine="600"/>
        <w:rPr>
          <w:rFonts w:eastAsia="仿宋_GB2312"/>
          <w:sz w:val="30"/>
          <w:szCs w:val="30"/>
        </w:rPr>
      </w:pPr>
      <w:r>
        <w:rPr>
          <w:rFonts w:hint="eastAsia" w:eastAsia="仿宋_GB2312"/>
          <w:sz w:val="30"/>
          <w:szCs w:val="30"/>
        </w:rPr>
        <w:t>3.</w:t>
      </w:r>
      <w:r>
        <w:rPr>
          <w:rFonts w:eastAsia="仿宋_GB2312"/>
          <w:sz w:val="30"/>
          <w:szCs w:val="30"/>
        </w:rPr>
        <w:t>适用贸易便利化政策的企业无需办理上述退汇登记。</w:t>
      </w:r>
    </w:p>
    <w:p>
      <w:pPr>
        <w:adjustRightInd w:val="0"/>
        <w:snapToGrid w:val="0"/>
        <w:spacing w:line="360" w:lineRule="auto"/>
        <w:ind w:firstLine="600"/>
        <w:rPr>
          <w:rFonts w:eastAsia="黑体"/>
          <w:sz w:val="30"/>
          <w:szCs w:val="30"/>
        </w:rPr>
      </w:pPr>
      <w:r>
        <w:rPr>
          <w:rFonts w:hint="eastAsia" w:eastAsia="黑体"/>
          <w:sz w:val="30"/>
          <w:szCs w:val="30"/>
        </w:rPr>
        <w:t>二十三、</w:t>
      </w:r>
      <w:r>
        <w:rPr>
          <w:rFonts w:eastAsia="黑体"/>
          <w:sz w:val="30"/>
          <w:szCs w:val="30"/>
        </w:rPr>
        <w:t>常见错误示例</w:t>
      </w:r>
    </w:p>
    <w:p>
      <w:pPr>
        <w:adjustRightInd w:val="0"/>
        <w:snapToGrid w:val="0"/>
        <w:spacing w:line="360" w:lineRule="auto"/>
        <w:ind w:firstLine="600"/>
        <w:rPr>
          <w:rFonts w:eastAsia="仿宋_GB2312"/>
          <w:sz w:val="30"/>
          <w:szCs w:val="30"/>
        </w:rPr>
      </w:pPr>
      <w:r>
        <w:rPr>
          <w:rFonts w:eastAsia="仿宋_GB2312"/>
          <w:sz w:val="30"/>
          <w:szCs w:val="30"/>
        </w:rPr>
        <w:t>申请材料不完全符合规定，例如</w:t>
      </w:r>
      <w:r>
        <w:rPr>
          <w:rFonts w:hint="eastAsia" w:eastAsia="仿宋_GB2312"/>
          <w:sz w:val="30"/>
          <w:szCs w:val="30"/>
        </w:rPr>
        <w:t>书面申请原</w:t>
      </w:r>
      <w:r>
        <w:rPr>
          <w:rFonts w:eastAsia="仿宋_GB2312"/>
          <w:sz w:val="30"/>
          <w:szCs w:val="30"/>
        </w:rPr>
        <w:t>件未加盖公章等。</w:t>
      </w:r>
    </w:p>
    <w:p>
      <w:pPr>
        <w:ind w:right="300" w:firstLine="0" w:firstLineChars="0"/>
        <w:rPr>
          <w:rFonts w:eastAsia="仿宋_GB2312"/>
          <w:sz w:val="30"/>
          <w:szCs w:val="30"/>
        </w:rPr>
      </w:pPr>
      <w:r>
        <w:rPr>
          <w:rFonts w:eastAsia="仿宋_GB2312"/>
          <w:sz w:val="30"/>
          <w:szCs w:val="30"/>
        </w:rPr>
        <w:br w:type="page"/>
      </w:r>
      <w:r>
        <w:rPr>
          <w:rFonts w:eastAsia="仿宋_GB2312"/>
          <w:sz w:val="30"/>
          <w:szCs w:val="30"/>
        </w:rPr>
        <w:t>附</w:t>
      </w:r>
      <w:r>
        <w:rPr>
          <w:rFonts w:hint="eastAsia" w:eastAsia="仿宋_GB2312"/>
          <w:sz w:val="30"/>
          <w:szCs w:val="30"/>
        </w:rPr>
        <w:t>录</w:t>
      </w:r>
    </w:p>
    <w:p>
      <w:pPr>
        <w:ind w:right="300" w:firstLine="600"/>
        <w:jc w:val="center"/>
        <w:rPr>
          <w:rFonts w:eastAsia="黑体"/>
          <w:sz w:val="30"/>
          <w:szCs w:val="30"/>
        </w:rPr>
      </w:pPr>
      <w:r>
        <w:rPr>
          <w:rFonts w:eastAsia="黑体"/>
          <w:sz w:val="30"/>
          <w:szCs w:val="30"/>
        </w:rPr>
        <w:t>基本流程图</w:t>
      </w:r>
    </w:p>
    <w:p>
      <w:pPr>
        <w:ind w:right="300" w:firstLine="600"/>
        <w:jc w:val="center"/>
        <w:rPr>
          <w:rFonts w:eastAsia="黑体"/>
          <w:sz w:val="30"/>
          <w:szCs w:val="30"/>
        </w:rPr>
      </w:pPr>
    </w:p>
    <w:p>
      <w:pPr>
        <w:ind w:right="300" w:firstLine="600"/>
        <w:jc w:val="center"/>
        <w:rPr>
          <w:rFonts w:eastAsia="仿宋_GB2312"/>
          <w:sz w:val="30"/>
          <w:szCs w:val="30"/>
        </w:rPr>
      </w:pPr>
      <w:r>
        <w:rPr>
          <w:rFonts w:ascii="Times New Roman" w:hAnsi="Times New Roman" w:eastAsia="仿宋_GB2312" w:cs="Times New Roman"/>
          <w:kern w:val="2"/>
          <w:sz w:val="30"/>
          <w:szCs w:val="30"/>
          <w:lang w:val="en-US" w:eastAsia="zh-CN" w:bidi="ar-SA"/>
        </w:rPr>
        <w:pict>
          <v:rect id="Rectangle 399" o:spid="_x0000_s1027" style="position:absolute;left:0;margin-left:-1.45pt;margin-top:11.35pt;height:57.7pt;width:148.4pt;rotation:0f;z-index:25167462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before="34"/>
                    <w:ind w:firstLine="0" w:firstLineChars="0"/>
                    <w:rPr>
                      <w:rFonts w:ascii="宋体" w:hAnsi="宋体" w:cs="宋体"/>
                      <w:szCs w:val="21"/>
                    </w:rPr>
                  </w:pPr>
                  <w:r>
                    <w:rPr>
                      <w:rFonts w:hint="eastAsia" w:ascii="宋体" w:hAnsi="宋体" w:eastAsia="宋体" w:cs="宋体"/>
                      <w:sz w:val="21"/>
                      <w:szCs w:val="21"/>
                    </w:rPr>
                    <w:t>申请人以现场、邮寄等方式提出书面申请，并提交材料</w:t>
                  </w:r>
                </w:p>
                <w:p>
                  <w:pPr>
                    <w:ind w:firstLine="560"/>
                  </w:pPr>
                </w:p>
              </w:txbxContent>
            </v:textbox>
          </v:rect>
        </w:pict>
      </w:r>
    </w:p>
    <w:p>
      <w:pPr>
        <w:ind w:right="300" w:firstLine="600"/>
        <w:jc w:val="center"/>
        <w:rPr>
          <w:rFonts w:eastAsia="仿宋_GB2312"/>
          <w:sz w:val="30"/>
          <w:szCs w:val="30"/>
        </w:rPr>
      </w:pPr>
      <w:r>
        <w:rPr>
          <w:rFonts w:ascii="Times New Roman" w:hAnsi="Times New Roman" w:eastAsia="仿宋_GB2312" w:cs="Times New Roman"/>
          <w:kern w:val="2"/>
          <w:sz w:val="30"/>
          <w:szCs w:val="30"/>
          <w:lang w:val="en-US" w:eastAsia="zh-CN" w:bidi="ar-SA"/>
        </w:rPr>
        <w:pict>
          <v:rect id="Rectangle 394" o:spid="_x0000_s1028" style="position:absolute;left:0;margin-left:273.6pt;margin-top:26.7pt;height:39.8pt;width:104.7pt;rotation:0f;z-index:25166950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pPr>
                  <w:r>
                    <w:rPr>
                      <w:rFonts w:hint="eastAsia" w:ascii="宋体" w:hAnsi="宋体" w:eastAsia="宋体" w:cs="宋体"/>
                      <w:sz w:val="21"/>
                      <w:szCs w:val="21"/>
                    </w:rPr>
                    <w:t>申请人补全材料</w:t>
                  </w:r>
                </w:p>
                <w:p>
                  <w:pPr>
                    <w:ind w:firstLine="560"/>
                  </w:pPr>
                </w:p>
              </w:txbxContent>
            </v:textbox>
          </v:rect>
        </w:pict>
      </w:r>
    </w:p>
    <w:p>
      <w:pPr>
        <w:ind w:right="300" w:firstLine="600"/>
        <w:jc w:val="center"/>
        <w:rPr>
          <w:rFonts w:eastAsia="仿宋_GB2312"/>
          <w:sz w:val="30"/>
          <w:szCs w:val="30"/>
        </w:rPr>
      </w:pPr>
      <w:r>
        <w:rPr>
          <w:rFonts w:ascii="Times New Roman" w:hAnsi="Times New Roman" w:eastAsia="仿宋_GB2312" w:cs="Times New Roman"/>
          <w:kern w:val="2"/>
          <w:sz w:val="30"/>
          <w:szCs w:val="30"/>
          <w:lang w:val="en-US" w:eastAsia="zh-CN" w:bidi="ar-SA"/>
        </w:rPr>
        <w:pict>
          <v:shape id="Straight Connector 387" o:spid="_x0000_s1029" type="#_x0000_t32" style="position:absolute;left:0;flip:x;margin-left:41.45pt;margin-top:21.05pt;height:0.05pt;width:232.15pt;rotation:0f;z-index:25166233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83" o:spid="_x0000_s1030" type="#_x0000_t32" style="position:absolute;left:0;margin-left:40.6pt;margin-top:6.65pt;height:73.4pt;width:0.85pt;rotation:0f;z-index:25165824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ind w:right="300" w:firstLine="600"/>
        <w:jc w:val="left"/>
        <w:rPr>
          <w:rFonts w:eastAsia="仿宋_GB2312"/>
          <w:sz w:val="30"/>
          <w:szCs w:val="30"/>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cs="Times New Roman"/>
          <w:kern w:val="2"/>
          <w:sz w:val="30"/>
          <w:szCs w:val="30"/>
          <w:lang w:val="en-US" w:eastAsia="zh-CN" w:bidi="ar-SA"/>
        </w:rPr>
        <w:pict>
          <v:shape id="Straight Connector 392" o:spid="_x0000_s1031" type="#_x0000_t32" style="position:absolute;left:0;margin-left:40.6pt;margin-top:182.85pt;height:0.05pt;width:41.1pt;rotation:0f;z-index:25166745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91" o:spid="_x0000_s1032" type="#_x0000_t32" style="position:absolute;left:0;margin-left:40.6pt;margin-top:113.3pt;height:69.55pt;width:0.05pt;rotation:0f;z-index:251666432;"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85" o:spid="_x0000_s1033" type="#_x0000_t32" style="position:absolute;left:0;margin-left:93.35pt;margin-top:101.65pt;height:0.05pt;width:58.6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89" o:spid="_x0000_s1034" type="#_x0000_t32" style="position:absolute;left:0;margin-left:237.35pt;margin-top:253.15pt;height:45.25pt;width:0.85pt;rotation:0f;z-index:25166438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90" o:spid="_x0000_s1035" type="#_x0000_t32" style="position:absolute;left:0;margin-left:131.6pt;margin-top:253.15pt;height:45.25pt;width:0.05pt;rotation:0f;z-index:25166540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仿宋_GB2312" w:cs="Times New Roman"/>
          <w:kern w:val="2"/>
          <w:sz w:val="30"/>
          <w:szCs w:val="30"/>
          <w:lang w:val="en-US" w:eastAsia="zh-CN" w:bidi="ar-SA"/>
        </w:rPr>
        <w:pict>
          <v:shape id="Straight Connector 388" o:spid="_x0000_s1036" type="#_x0000_t32" style="position:absolute;left:0;margin-left:179.6pt;margin-top:204.6pt;height:21.85pt;width:0.05pt;rotation:0f;z-index:25166336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ind w:right="300" w:firstLine="600"/>
        <w:rPr>
          <w:rFonts w:eastAsia="仿宋_GB2312"/>
          <w:sz w:val="30"/>
          <w:szCs w:val="30"/>
        </w:rPr>
      </w:pPr>
      <w:r>
        <w:rPr>
          <w:rFonts w:ascii="Times New Roman" w:hAnsi="Times New Roman" w:eastAsia="仿宋_GB2312" w:cs="Times New Roman"/>
          <w:kern w:val="2"/>
          <w:sz w:val="30"/>
          <w:szCs w:val="30"/>
          <w:lang w:val="en-US" w:eastAsia="zh-CN" w:bidi="ar-SA"/>
        </w:rPr>
        <w:pict>
          <v:shape id="Straight Connector 384" o:spid="_x0000_s1037" type="#_x0000_t32" style="position:absolute;left:0;margin-left:89.25pt;margin-top:61.45pt;height:0.05pt;width:62.7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黑体" w:cs="Times New Roman"/>
          <w:kern w:val="2"/>
          <w:sz w:val="48"/>
          <w:szCs w:val="48"/>
          <w:lang w:val="en-US" w:eastAsia="zh-CN" w:bidi="ar-SA"/>
        </w:rPr>
        <w:pict>
          <v:rect id="Rectangle 401" o:spid="_x0000_s1038" style="position:absolute;left:0;margin-left:199.5pt;margin-top:298.4pt;height:69.85pt;width:87.35pt;rotation:0f;z-index:25167667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rFonts w:ascii="宋体" w:hAnsi="宋体" w:eastAsia="宋体" w:cs="宋体"/>
                      <w:sz w:val="21"/>
                      <w:szCs w:val="21"/>
                    </w:rPr>
                  </w:pPr>
                  <w:r>
                    <w:rPr>
                      <w:rFonts w:hint="eastAsia" w:ascii="宋体" w:hAnsi="宋体" w:eastAsia="宋体" w:cs="宋体"/>
                      <w:sz w:val="21"/>
                      <w:szCs w:val="21"/>
                    </w:rPr>
                    <w:t>依法作出不予许可决定，并送达</w:t>
                  </w:r>
                </w:p>
                <w:p>
                  <w:pPr>
                    <w:ind w:firstLine="560"/>
                  </w:pPr>
                </w:p>
              </w:txbxContent>
            </v:textbox>
          </v:rect>
        </w:pict>
      </w:r>
      <w:r>
        <w:rPr>
          <w:rFonts w:ascii="Times New Roman" w:hAnsi="Times New Roman" w:eastAsia="黑体" w:cs="Times New Roman"/>
          <w:kern w:val="2"/>
          <w:sz w:val="48"/>
          <w:szCs w:val="48"/>
          <w:lang w:val="en-US" w:eastAsia="zh-CN" w:bidi="ar-SA"/>
        </w:rPr>
        <w:pict>
          <v:rect id="Rectangle 400" o:spid="_x0000_s1039" style="position:absolute;left:0;margin-left:81.65pt;margin-top:298.4pt;height:70.4pt;width:87.35pt;rotation:0f;z-index:25167564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rFonts w:ascii="宋体" w:hAnsi="宋体" w:eastAsia="宋体" w:cs="宋体"/>
                      <w:sz w:val="21"/>
                      <w:szCs w:val="21"/>
                    </w:rPr>
                  </w:pPr>
                  <w:r>
                    <w:rPr>
                      <w:rFonts w:hint="eastAsia" w:ascii="宋体" w:hAnsi="宋体" w:eastAsia="宋体" w:cs="宋体"/>
                      <w:sz w:val="21"/>
                      <w:szCs w:val="21"/>
                    </w:rPr>
                    <w:t>予以许可，向申请人出具《贸易外汇业务登记表》</w:t>
                  </w:r>
                </w:p>
                <w:p>
                  <w:pPr>
                    <w:ind w:firstLine="560"/>
                  </w:pPr>
                </w:p>
              </w:txbxContent>
            </v:textbox>
          </v:rect>
        </w:pict>
      </w:r>
      <w:r>
        <w:rPr>
          <w:rFonts w:ascii="Times New Roman" w:hAnsi="Times New Roman" w:eastAsia="黑体" w:cs="Times New Roman"/>
          <w:kern w:val="2"/>
          <w:sz w:val="48"/>
          <w:szCs w:val="48"/>
          <w:lang w:val="en-US" w:eastAsia="zh-CN" w:bidi="ar-SA"/>
        </w:rPr>
        <w:pict>
          <v:rect id="Rectangle 398" o:spid="_x0000_s1040" style="position:absolute;left:0;margin-left:81.7pt;margin-top:226.45pt;height:26.7pt;width:212.6pt;rotation:0f;z-index:25167360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jc w:val="center"/>
                    <w:rPr>
                      <w:rFonts w:ascii="宋体" w:hAnsi="宋体" w:eastAsia="宋体" w:cs="宋体"/>
                      <w:sz w:val="21"/>
                      <w:szCs w:val="21"/>
                    </w:rPr>
                  </w:pPr>
                  <w:r>
                    <w:rPr>
                      <w:rFonts w:hint="eastAsia" w:ascii="宋体" w:hAnsi="宋体" w:eastAsia="宋体" w:cs="宋体"/>
                      <w:sz w:val="21"/>
                      <w:szCs w:val="21"/>
                    </w:rPr>
                    <w:t>审查报批</w:t>
                  </w:r>
                </w:p>
                <w:p>
                  <w:pPr>
                    <w:ind w:firstLine="560"/>
                  </w:pPr>
                </w:p>
              </w:txbxContent>
            </v:textbox>
          </v:rect>
        </w:pict>
      </w:r>
      <w:r>
        <w:rPr>
          <w:rFonts w:ascii="Times New Roman" w:hAnsi="Times New Roman" w:eastAsia="黑体" w:cs="Times New Roman"/>
          <w:kern w:val="2"/>
          <w:sz w:val="48"/>
          <w:szCs w:val="48"/>
          <w:lang w:val="en-US" w:eastAsia="zh-CN" w:bidi="ar-SA"/>
        </w:rPr>
        <w:pict>
          <v:rect id="Rectangle 397" o:spid="_x0000_s1041" style="position:absolute;left:0;margin-left:81.65pt;margin-top:174.45pt;height:30.15pt;width:205.2pt;rotation:0f;z-index:25167257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jc w:val="center"/>
                    <w:rPr>
                      <w:rFonts w:ascii="宋体" w:hAnsi="宋体" w:eastAsia="宋体" w:cs="宋体"/>
                      <w:sz w:val="21"/>
                      <w:szCs w:val="21"/>
                    </w:rPr>
                  </w:pPr>
                  <w:r>
                    <w:rPr>
                      <w:rFonts w:hint="eastAsia" w:ascii="宋体" w:hAnsi="宋体" w:eastAsia="宋体" w:cs="宋体"/>
                      <w:sz w:val="21"/>
                      <w:szCs w:val="21"/>
                    </w:rPr>
                    <w:t>依法应予受理，出具受理单</w:t>
                  </w:r>
                </w:p>
                <w:p>
                  <w:pPr>
                    <w:ind w:firstLine="560"/>
                  </w:pPr>
                </w:p>
              </w:txbxContent>
            </v:textbox>
          </v:rect>
        </w:pict>
      </w:r>
      <w:r>
        <w:rPr>
          <w:rFonts w:ascii="Times New Roman" w:hAnsi="Times New Roman" w:eastAsia="仿宋_GB2312" w:cs="Times New Roman"/>
          <w:kern w:val="2"/>
          <w:sz w:val="30"/>
          <w:szCs w:val="30"/>
          <w:lang w:val="en-US" w:eastAsia="zh-CN" w:bidi="ar-SA"/>
        </w:rPr>
        <w:pict>
          <v:shape id="Straight Connector 386" o:spid="_x0000_s1042" type="#_x0000_t32" style="position:absolute;left:0;flip:y;margin-left:319.55pt;margin-top:4.1pt;height:44.75pt;width:0.05pt;rotation:0f;z-index:25166131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黑体" w:cs="Times New Roman"/>
          <w:kern w:val="2"/>
          <w:sz w:val="48"/>
          <w:szCs w:val="48"/>
          <w:lang w:val="en-US" w:eastAsia="zh-CN" w:bidi="ar-SA"/>
        </w:rPr>
        <w:pict>
          <v:rect id="Rectangle 396" o:spid="_x0000_s1043" style="position:absolute;left:0;margin-left:151.95pt;margin-top:91.45pt;height:45.3pt;width:268.1pt;rotation:0f;z-index:25167155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pPr>
                  <w:r>
                    <w:rPr>
                      <w:rFonts w:hint="eastAsia" w:ascii="宋体" w:hAnsi="宋体" w:eastAsia="宋体" w:cs="宋体"/>
                      <w:sz w:val="21"/>
                      <w:szCs w:val="21"/>
                    </w:rPr>
                    <w:t>依法不予受理的，作出不予受理决定，出具不予受理通知书</w:t>
                  </w:r>
                </w:p>
              </w:txbxContent>
            </v:textbox>
          </v:rect>
        </w:pict>
      </w:r>
      <w:r>
        <w:rPr>
          <w:rFonts w:ascii="Times New Roman" w:hAnsi="Times New Roman" w:eastAsia="黑体" w:cs="Times New Roman"/>
          <w:kern w:val="2"/>
          <w:sz w:val="48"/>
          <w:szCs w:val="48"/>
          <w:lang w:val="en-US" w:eastAsia="zh-CN" w:bidi="ar-SA"/>
        </w:rPr>
        <w:pict>
          <v:rect id="Rectangle 395" o:spid="_x0000_s1044" style="position:absolute;left:0;margin-left:151.95pt;margin-top:48.85pt;height:25pt;width:268.1pt;rotation:0f;z-index:25167052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rFonts w:ascii="宋体" w:hAnsi="宋体" w:eastAsia="宋体" w:cs="宋体"/>
                      <w:sz w:val="21"/>
                      <w:szCs w:val="21"/>
                    </w:rPr>
                  </w:pPr>
                  <w:r>
                    <w:rPr>
                      <w:rFonts w:hint="eastAsia" w:ascii="宋体" w:hAnsi="宋体" w:eastAsia="宋体" w:cs="宋体"/>
                      <w:sz w:val="21"/>
                      <w:szCs w:val="21"/>
                    </w:rPr>
                    <w:t>材料不全或不符合法定形式的，一次性告知补正材料</w:t>
                  </w:r>
                </w:p>
                <w:p>
                  <w:pPr>
                    <w:ind w:firstLine="560"/>
                  </w:pPr>
                </w:p>
              </w:txbxContent>
            </v:textbox>
          </v:rect>
        </w:pict>
      </w:r>
      <w:r>
        <w:rPr>
          <w:rFonts w:ascii="Times New Roman" w:hAnsi="Times New Roman" w:eastAsia="黑体" w:cs="Times New Roman"/>
          <w:kern w:val="2"/>
          <w:sz w:val="48"/>
          <w:szCs w:val="48"/>
          <w:lang w:val="en-US" w:eastAsia="zh-CN" w:bidi="ar-SA"/>
        </w:rPr>
        <w:pict>
          <v:shape id="Flowchart: Decision 393" o:spid="_x0000_s1045" type="#_x0000_t110" style="position:absolute;left:0;margin-left:-39.65pt;margin-top:35.35pt;height:97.45pt;width:163.7pt;rotation:0f;z-index:251668480;"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ind w:firstLine="0" w:firstLineChars="0"/>
                    <w:rPr>
                      <w:rFonts w:ascii="宋体" w:hAnsi="宋体" w:eastAsia="宋体" w:cs="宋体"/>
                      <w:sz w:val="21"/>
                      <w:szCs w:val="21"/>
                    </w:rPr>
                  </w:pPr>
                  <w:r>
                    <w:rPr>
                      <w:rFonts w:hint="eastAsia" w:ascii="宋体" w:hAnsi="宋体" w:eastAsia="宋体" w:cs="宋体"/>
                      <w:sz w:val="21"/>
                      <w:szCs w:val="21"/>
                    </w:rPr>
                    <w:t>当场（或5个工作日内）作出是否受理决定</w:t>
                  </w:r>
                </w:p>
                <w:p>
                  <w:pPr>
                    <w:ind w:firstLine="560"/>
                  </w:pPr>
                </w:p>
              </w:txbxContent>
            </v:textbox>
          </v:shape>
        </w:pict>
      </w:r>
    </w:p>
    <w:sectPr>
      <w:footerReference r:id="rId10" w:type="default"/>
      <w:type w:val="continuous"/>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firstLine="360"/>
      <w:jc w:val="center"/>
    </w:pPr>
    <w:r>
      <w:fldChar w:fldCharType="begin"/>
    </w:r>
    <w:r>
      <w:instrText xml:space="preserve"> PAGE   \* MERGEFORMAT </w:instrText>
    </w:r>
    <w:r>
      <w:fldChar w:fldCharType="separate"/>
    </w:r>
    <w:r>
      <w:rPr>
        <w:lang w:val="zh-CN"/>
      </w:rPr>
      <w:t>191</w:t>
    </w:r>
    <w:r>
      <w:rPr>
        <w:lang w:val="zh-CN"/>
      </w:rP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01901"/>
    <w:rsid w:val="002E15B1"/>
    <w:rsid w:val="00401901"/>
    <w:rsid w:val="004A1001"/>
    <w:rsid w:val="006F1B9E"/>
    <w:rsid w:val="0087758E"/>
    <w:rsid w:val="00A57149"/>
    <w:rsid w:val="03D21FD2"/>
    <w:rsid w:val="0DCE67DF"/>
    <w:rsid w:val="0E744B7D"/>
    <w:rsid w:val="17FB0F86"/>
    <w:rsid w:val="18A87FCA"/>
    <w:rsid w:val="1F736988"/>
    <w:rsid w:val="23FF441C"/>
    <w:rsid w:val="252E182C"/>
    <w:rsid w:val="286E2DE5"/>
    <w:rsid w:val="28DC0E38"/>
    <w:rsid w:val="2A0F4E89"/>
    <w:rsid w:val="344727D0"/>
    <w:rsid w:val="350230BF"/>
    <w:rsid w:val="370522D0"/>
    <w:rsid w:val="39A81235"/>
    <w:rsid w:val="3A2D747A"/>
    <w:rsid w:val="3EE2033E"/>
    <w:rsid w:val="41BE67FE"/>
    <w:rsid w:val="42C42797"/>
    <w:rsid w:val="485F38A3"/>
    <w:rsid w:val="4B8311ED"/>
    <w:rsid w:val="4C7D5930"/>
    <w:rsid w:val="4C9830E4"/>
    <w:rsid w:val="4CEA6451"/>
    <w:rsid w:val="4E83075A"/>
    <w:rsid w:val="50445D53"/>
    <w:rsid w:val="50495762"/>
    <w:rsid w:val="56914A6B"/>
    <w:rsid w:val="5BBA4044"/>
    <w:rsid w:val="5D710A6F"/>
    <w:rsid w:val="5D7471C1"/>
    <w:rsid w:val="67F578DE"/>
    <w:rsid w:val="6B9D70DF"/>
    <w:rsid w:val="6BAE3435"/>
    <w:rsid w:val="6BE51391"/>
    <w:rsid w:val="6D5F0BFD"/>
    <w:rsid w:val="6DA203ED"/>
    <w:rsid w:val="6F746F34"/>
    <w:rsid w:val="730B6BCA"/>
    <w:rsid w:val="75A474F6"/>
    <w:rsid w:val="7A2527DB"/>
    <w:rsid w:val="7D62205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0" w:firstLineChars="200"/>
      <w:jc w:val="both"/>
    </w:pPr>
    <w:rPr>
      <w:rFonts w:ascii="Times New Roman" w:hAnsi="Times New Roman" w:eastAsia="方正仿宋_GBK" w:cs="Times New Roman"/>
      <w:kern w:val="2"/>
      <w:sz w:val="28"/>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toc 3"/>
    <w:basedOn w:val="1"/>
    <w:next w:val="1"/>
    <w:unhideWhenUsed/>
    <w:qFormat/>
    <w:uiPriority w:val="39"/>
    <w:pPr>
      <w:ind w:left="840" w:leftChars="40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0"/>
    <w:rPr>
      <w:color w:val="0000FF"/>
      <w:u w:val="single"/>
    </w:rPr>
  </w:style>
  <w:style w:type="table" w:styleId="8">
    <w:name w:val="Table Grid"/>
    <w:basedOn w:val="7"/>
    <w:unhideWhenUsed/>
    <w:qFormat/>
    <w:uiPriority w:val="9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页眉 Char"/>
    <w:basedOn w:val="5"/>
    <w:link w:val="4"/>
    <w:semiHidden/>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280</Words>
  <Characters>1598</Characters>
  <Lines>13</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2023-03-03T02:45:00Z</dcterms:created>
  <dc:creator>sun</dc:creator>
  <cp:lastModifiedBy>孙旭斌</cp:lastModifiedBy>
  <dcterms:modified xsi:type="dcterms:W3CDTF">2025-04-09T08:35:51Z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