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0" w:rsidRPr="000E7C1B" w:rsidRDefault="004F5863" w:rsidP="00112BA0">
      <w:pPr>
        <w:spacing w:line="5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宏观审慎跨境融资</w:t>
      </w:r>
      <w:r w:rsidR="00112BA0" w:rsidRPr="000E7C1B">
        <w:rPr>
          <w:rFonts w:ascii="黑体" w:eastAsia="黑体" w:hint="eastAsia"/>
          <w:sz w:val="32"/>
          <w:szCs w:val="32"/>
        </w:rPr>
        <w:t>风险加权余额情况表（</w:t>
      </w:r>
      <w:r w:rsidR="00112BA0">
        <w:rPr>
          <w:rFonts w:ascii="黑体" w:eastAsia="黑体" w:hint="eastAsia"/>
          <w:sz w:val="32"/>
          <w:szCs w:val="32"/>
        </w:rPr>
        <w:t>企业</w:t>
      </w:r>
      <w:r w:rsidR="00112BA0" w:rsidRPr="000E7C1B">
        <w:rPr>
          <w:rFonts w:ascii="黑体" w:eastAsia="黑体" w:hint="eastAsia"/>
          <w:sz w:val="32"/>
          <w:szCs w:val="32"/>
        </w:rPr>
        <w:t>版）</w:t>
      </w:r>
    </w:p>
    <w:p w:rsidR="00112BA0" w:rsidRDefault="00112BA0" w:rsidP="00112BA0">
      <w:pPr>
        <w:ind w:firstLineChars="300" w:firstLine="630"/>
      </w:pP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单位</w:t>
      </w:r>
      <w:r>
        <w:rPr>
          <w:rStyle w:val="a6"/>
        </w:rPr>
        <w:footnoteReference w:id="2"/>
      </w:r>
      <w:r>
        <w:rPr>
          <w:rFonts w:hint="eastAsia"/>
        </w:rPr>
        <w:t>：万元人民币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709"/>
        <w:gridCol w:w="1559"/>
        <w:gridCol w:w="1575"/>
        <w:gridCol w:w="268"/>
        <w:gridCol w:w="1592"/>
        <w:gridCol w:w="47"/>
        <w:gridCol w:w="23"/>
        <w:gridCol w:w="1790"/>
      </w:tblGrid>
      <w:tr w:rsidR="00112BA0" w:rsidRPr="001A0727" w:rsidTr="003478D3">
        <w:trPr>
          <w:trHeight w:val="787"/>
        </w:trPr>
        <w:tc>
          <w:tcPr>
            <w:tcW w:w="959" w:type="dxa"/>
            <w:vMerge w:val="restart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基本信息</w:t>
            </w:r>
          </w:p>
        </w:tc>
        <w:tc>
          <w:tcPr>
            <w:tcW w:w="2268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债务人名称</w:t>
            </w:r>
          </w:p>
        </w:tc>
        <w:tc>
          <w:tcPr>
            <w:tcW w:w="5295" w:type="dxa"/>
            <w:gridSpan w:val="6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556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12BA0" w:rsidRPr="001A0727" w:rsidRDefault="004F5863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>
              <w:rPr>
                <w:rFonts w:ascii="华文楷体" w:eastAsia="华文楷体" w:hAnsi="华文楷体" w:hint="eastAsia"/>
                <w:sz w:val="24"/>
                <w:szCs w:val="24"/>
              </w:rPr>
              <w:t>统一社会信用代码</w:t>
            </w:r>
          </w:p>
        </w:tc>
        <w:tc>
          <w:tcPr>
            <w:tcW w:w="1575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债务人类型</w:t>
            </w:r>
            <w:r w:rsidRPr="001A0727">
              <w:rPr>
                <w:rStyle w:val="a6"/>
                <w:rFonts w:ascii="华文楷体" w:eastAsia="华文楷体" w:hAnsi="华文楷体"/>
                <w:sz w:val="24"/>
                <w:szCs w:val="24"/>
              </w:rPr>
              <w:footnoteReference w:id="3"/>
            </w:r>
          </w:p>
        </w:tc>
        <w:tc>
          <w:tcPr>
            <w:tcW w:w="1860" w:type="dxa"/>
            <w:gridSpan w:val="3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564"/>
        </w:trPr>
        <w:tc>
          <w:tcPr>
            <w:tcW w:w="959" w:type="dxa"/>
            <w:vMerge w:val="restart"/>
            <w:vAlign w:val="center"/>
          </w:tcPr>
          <w:p w:rsidR="00112BA0" w:rsidRPr="001A0727" w:rsidRDefault="004F5863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4F5863">
              <w:rPr>
                <w:rFonts w:ascii="华文楷体" w:eastAsia="华文楷体" w:hAnsi="华文楷体" w:hint="eastAsia"/>
                <w:sz w:val="24"/>
                <w:szCs w:val="24"/>
              </w:rPr>
              <w:t>跨境融资</w:t>
            </w:r>
            <w:r w:rsidR="00112BA0" w:rsidRPr="001A0727">
              <w:rPr>
                <w:rFonts w:ascii="华文楷体" w:eastAsia="华文楷体" w:hAnsi="华文楷体" w:hint="eastAsia"/>
                <w:sz w:val="24"/>
                <w:szCs w:val="24"/>
              </w:rPr>
              <w:t>风险加权余额上限</w:t>
            </w:r>
          </w:p>
        </w:tc>
        <w:tc>
          <w:tcPr>
            <w:tcW w:w="2268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净资产</w:t>
            </w:r>
            <w:r w:rsidRPr="001A0727">
              <w:rPr>
                <w:rStyle w:val="a6"/>
                <w:rFonts w:ascii="华文楷体" w:eastAsia="华文楷体" w:hAnsi="华文楷体"/>
                <w:sz w:val="24"/>
                <w:szCs w:val="24"/>
              </w:rPr>
              <w:footnoteReference w:id="4"/>
            </w:r>
          </w:p>
        </w:tc>
        <w:tc>
          <w:tcPr>
            <w:tcW w:w="5295" w:type="dxa"/>
            <w:gridSpan w:val="6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704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风险加权余额</w:t>
            </w:r>
          </w:p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上限</w:t>
            </w:r>
            <w:r w:rsidRPr="001A0727">
              <w:rPr>
                <w:rStyle w:val="a6"/>
                <w:rFonts w:ascii="华文楷体" w:eastAsia="华文楷体" w:hAnsi="华文楷体"/>
                <w:sz w:val="24"/>
                <w:szCs w:val="24"/>
              </w:rPr>
              <w:footnoteReference w:id="5"/>
            </w:r>
          </w:p>
        </w:tc>
        <w:tc>
          <w:tcPr>
            <w:tcW w:w="5295" w:type="dxa"/>
            <w:gridSpan w:val="6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502"/>
        </w:trPr>
        <w:tc>
          <w:tcPr>
            <w:tcW w:w="959" w:type="dxa"/>
            <w:vMerge w:val="restart"/>
            <w:vAlign w:val="center"/>
          </w:tcPr>
          <w:p w:rsidR="00112BA0" w:rsidRPr="001A0727" w:rsidRDefault="004F5863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4F5863">
              <w:rPr>
                <w:rFonts w:ascii="华文楷体" w:eastAsia="华文楷体" w:hAnsi="华文楷体" w:hint="eastAsia"/>
                <w:sz w:val="24"/>
                <w:szCs w:val="24"/>
              </w:rPr>
              <w:t>跨境融资</w:t>
            </w:r>
            <w:r w:rsidR="00112BA0" w:rsidRPr="001A0727">
              <w:rPr>
                <w:rFonts w:ascii="华文楷体" w:eastAsia="华文楷体" w:hAnsi="华文楷体" w:hint="eastAsia"/>
                <w:sz w:val="24"/>
                <w:szCs w:val="24"/>
              </w:rPr>
              <w:t>风险加权余额</w:t>
            </w:r>
          </w:p>
        </w:tc>
        <w:tc>
          <w:tcPr>
            <w:tcW w:w="2268" w:type="dxa"/>
            <w:gridSpan w:val="2"/>
            <w:tcBorders>
              <w:tl2br w:val="single" w:sz="4" w:space="0" w:color="auto"/>
            </w:tcBorders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2BA0" w:rsidRPr="001A0727" w:rsidRDefault="00112BA0" w:rsidP="003478D3">
            <w:pPr>
              <w:spacing w:line="24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中长期</w:t>
            </w:r>
          </w:p>
        </w:tc>
        <w:tc>
          <w:tcPr>
            <w:tcW w:w="1662" w:type="dxa"/>
            <w:gridSpan w:val="3"/>
            <w:vAlign w:val="center"/>
          </w:tcPr>
          <w:p w:rsidR="00112BA0" w:rsidRPr="001A0727" w:rsidRDefault="00112BA0" w:rsidP="003478D3">
            <w:pPr>
              <w:spacing w:line="24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短期</w:t>
            </w:r>
          </w:p>
        </w:tc>
        <w:tc>
          <w:tcPr>
            <w:tcW w:w="1790" w:type="dxa"/>
            <w:vAlign w:val="center"/>
          </w:tcPr>
          <w:p w:rsidR="00112BA0" w:rsidRPr="001A0727" w:rsidRDefault="00112BA0" w:rsidP="003478D3">
            <w:pPr>
              <w:jc w:val="center"/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外币</w:t>
            </w:r>
          </w:p>
        </w:tc>
      </w:tr>
      <w:tr w:rsidR="00112BA0" w:rsidRPr="001A0727" w:rsidTr="003478D3">
        <w:trPr>
          <w:trHeight w:val="582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现有</w:t>
            </w:r>
            <w:r w:rsidR="004F5863" w:rsidRPr="004F5863">
              <w:rPr>
                <w:rFonts w:ascii="华文楷体" w:eastAsia="华文楷体" w:hAnsi="华文楷体" w:hint="eastAsia"/>
                <w:sz w:val="24"/>
                <w:szCs w:val="24"/>
              </w:rPr>
              <w:t>跨境融资</w:t>
            </w: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余额</w:t>
            </w:r>
          </w:p>
        </w:tc>
        <w:tc>
          <w:tcPr>
            <w:tcW w:w="1843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565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本笔</w:t>
            </w:r>
            <w:r w:rsidR="004F5863" w:rsidRPr="004F5863">
              <w:rPr>
                <w:rFonts w:ascii="华文楷体" w:eastAsia="华文楷体" w:hAnsi="华文楷体" w:hint="eastAsia"/>
                <w:sz w:val="24"/>
                <w:szCs w:val="24"/>
              </w:rPr>
              <w:t>跨境融资</w:t>
            </w: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签约额</w:t>
            </w:r>
          </w:p>
        </w:tc>
        <w:tc>
          <w:tcPr>
            <w:tcW w:w="1843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684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不纳入计算的业务类型</w:t>
            </w:r>
          </w:p>
        </w:tc>
        <w:tc>
          <w:tcPr>
            <w:tcW w:w="1559" w:type="dxa"/>
            <w:tcBorders>
              <w:tl2br w:val="single" w:sz="4" w:space="0" w:color="auto"/>
            </w:tcBorders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2BA0" w:rsidRPr="001A0727" w:rsidRDefault="00112BA0" w:rsidP="003478D3">
            <w:pPr>
              <w:spacing w:line="24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中长期余额</w:t>
            </w:r>
          </w:p>
        </w:tc>
        <w:tc>
          <w:tcPr>
            <w:tcW w:w="1662" w:type="dxa"/>
            <w:gridSpan w:val="3"/>
            <w:vAlign w:val="center"/>
          </w:tcPr>
          <w:p w:rsidR="00112BA0" w:rsidRPr="001A0727" w:rsidRDefault="00112BA0" w:rsidP="003478D3">
            <w:pPr>
              <w:spacing w:line="24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短期余额</w:t>
            </w:r>
          </w:p>
        </w:tc>
        <w:tc>
          <w:tcPr>
            <w:tcW w:w="1790" w:type="dxa"/>
            <w:vAlign w:val="center"/>
          </w:tcPr>
          <w:p w:rsidR="00112BA0" w:rsidRPr="001A0727" w:rsidRDefault="00112BA0" w:rsidP="003478D3">
            <w:pPr>
              <w:jc w:val="center"/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外币余额</w:t>
            </w:r>
          </w:p>
        </w:tc>
      </w:tr>
      <w:tr w:rsidR="00112BA0" w:rsidRPr="001A0727" w:rsidTr="003478D3">
        <w:trPr>
          <w:trHeight w:val="411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熊猫债</w:t>
            </w:r>
          </w:p>
        </w:tc>
        <w:tc>
          <w:tcPr>
            <w:tcW w:w="1843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416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409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568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12BA0" w:rsidRPr="001A0727" w:rsidRDefault="004F5863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>
              <w:rPr>
                <w:rFonts w:ascii="华文楷体" w:eastAsia="华文楷体" w:hAnsi="华文楷体" w:hint="eastAsia"/>
                <w:sz w:val="24"/>
                <w:szCs w:val="24"/>
              </w:rPr>
              <w:t>纳入计算的</w:t>
            </w:r>
            <w:r w:rsidR="00112BA0" w:rsidRPr="001A0727">
              <w:rPr>
                <w:rFonts w:ascii="华文楷体" w:eastAsia="华文楷体" w:hAnsi="华文楷体" w:hint="eastAsia"/>
                <w:sz w:val="24"/>
                <w:szCs w:val="24"/>
              </w:rPr>
              <w:t>余额</w:t>
            </w:r>
            <w:r w:rsidR="00112BA0" w:rsidRPr="001A0727">
              <w:rPr>
                <w:rStyle w:val="a6"/>
                <w:rFonts w:ascii="华文楷体" w:eastAsia="华文楷体" w:hAnsi="华文楷体"/>
                <w:sz w:val="24"/>
                <w:szCs w:val="24"/>
              </w:rPr>
              <w:footnoteReference w:id="6"/>
            </w:r>
          </w:p>
        </w:tc>
        <w:tc>
          <w:tcPr>
            <w:tcW w:w="1843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704"/>
        </w:trPr>
        <w:tc>
          <w:tcPr>
            <w:tcW w:w="959" w:type="dxa"/>
            <w:vMerge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12BA0" w:rsidRPr="001A0727" w:rsidRDefault="004F5863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4F5863">
              <w:rPr>
                <w:rFonts w:ascii="华文楷体" w:eastAsia="华文楷体" w:hAnsi="华文楷体" w:hint="eastAsia"/>
                <w:sz w:val="24"/>
                <w:szCs w:val="24"/>
              </w:rPr>
              <w:t>跨境融资</w:t>
            </w:r>
            <w:r w:rsidR="00112BA0" w:rsidRPr="001A0727">
              <w:rPr>
                <w:rFonts w:ascii="华文楷体" w:eastAsia="华文楷体" w:hAnsi="华文楷体" w:hint="eastAsia"/>
                <w:sz w:val="24"/>
                <w:szCs w:val="24"/>
              </w:rPr>
              <w:t>风险加权余额</w:t>
            </w:r>
            <w:r w:rsidR="00112BA0" w:rsidRPr="001A0727">
              <w:rPr>
                <w:rStyle w:val="a6"/>
                <w:rFonts w:ascii="华文楷体" w:eastAsia="华文楷体" w:hAnsi="华文楷体"/>
                <w:sz w:val="24"/>
                <w:szCs w:val="24"/>
              </w:rPr>
              <w:footnoteReference w:id="7"/>
            </w:r>
          </w:p>
        </w:tc>
        <w:tc>
          <w:tcPr>
            <w:tcW w:w="5295" w:type="dxa"/>
            <w:gridSpan w:val="6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112BA0" w:rsidRPr="001A0727" w:rsidTr="003478D3">
        <w:trPr>
          <w:trHeight w:val="668"/>
        </w:trPr>
        <w:tc>
          <w:tcPr>
            <w:tcW w:w="3227" w:type="dxa"/>
            <w:gridSpan w:val="3"/>
            <w:vAlign w:val="center"/>
          </w:tcPr>
          <w:p w:rsidR="00112BA0" w:rsidRPr="001A0727" w:rsidRDefault="004F5863" w:rsidP="003478D3">
            <w:pPr>
              <w:spacing w:line="320" w:lineRule="exact"/>
              <w:jc w:val="left"/>
              <w:rPr>
                <w:rFonts w:ascii="华文楷体" w:eastAsia="华文楷体" w:hAnsi="华文楷体"/>
                <w:sz w:val="24"/>
                <w:szCs w:val="24"/>
              </w:rPr>
            </w:pPr>
            <w:r w:rsidRPr="004F5863">
              <w:rPr>
                <w:rFonts w:ascii="华文楷体" w:eastAsia="华文楷体" w:hAnsi="华文楷体" w:hint="eastAsia"/>
                <w:sz w:val="24"/>
                <w:szCs w:val="24"/>
              </w:rPr>
              <w:t>跨境融资</w:t>
            </w:r>
            <w:r w:rsidR="00112BA0" w:rsidRPr="001A0727">
              <w:rPr>
                <w:rFonts w:ascii="华文楷体" w:eastAsia="华文楷体" w:hAnsi="华文楷体" w:hint="eastAsia"/>
                <w:sz w:val="24"/>
                <w:szCs w:val="24"/>
              </w:rPr>
              <w:t>风险加权余额上限与外债风险加权余额之差额</w:t>
            </w:r>
          </w:p>
        </w:tc>
        <w:tc>
          <w:tcPr>
            <w:tcW w:w="1843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ind w:firstLineChars="200" w:firstLine="480"/>
              <w:jc w:val="left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是否超上限</w:t>
            </w:r>
          </w:p>
        </w:tc>
        <w:tc>
          <w:tcPr>
            <w:tcW w:w="1813" w:type="dxa"/>
            <w:gridSpan w:val="2"/>
            <w:vAlign w:val="center"/>
          </w:tcPr>
          <w:p w:rsidR="00112BA0" w:rsidRPr="001A0727" w:rsidRDefault="00112BA0" w:rsidP="003478D3">
            <w:pPr>
              <w:spacing w:line="320" w:lineRule="exact"/>
              <w:jc w:val="left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>是（ ）否（ ）</w:t>
            </w:r>
          </w:p>
        </w:tc>
      </w:tr>
      <w:tr w:rsidR="00112BA0" w:rsidRPr="001A0727" w:rsidTr="003478D3">
        <w:trPr>
          <w:trHeight w:val="1023"/>
        </w:trPr>
        <w:tc>
          <w:tcPr>
            <w:tcW w:w="8522" w:type="dxa"/>
            <w:gridSpan w:val="9"/>
            <w:vAlign w:val="center"/>
          </w:tcPr>
          <w:p w:rsidR="00112BA0" w:rsidRPr="001A0727" w:rsidRDefault="00112BA0" w:rsidP="003478D3">
            <w:pPr>
              <w:spacing w:line="320" w:lineRule="exact"/>
              <w:ind w:firstLineChars="200" w:firstLine="480"/>
              <w:jc w:val="left"/>
              <w:rPr>
                <w:rFonts w:ascii="华文楷体" w:eastAsia="华文楷体" w:hAnsi="华文楷体"/>
                <w:sz w:val="24"/>
                <w:szCs w:val="24"/>
              </w:rPr>
            </w:pP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 xml:space="preserve">以上信息真实有效，本机构将严格按照相关规定认真履行相关职责，并及时准确地报送相关信息。                                 </w:t>
            </w:r>
            <w:r>
              <w:rPr>
                <w:rFonts w:ascii="华文楷体" w:eastAsia="华文楷体" w:hAnsi="华文楷体" w:hint="eastAsia"/>
                <w:sz w:val="24"/>
                <w:szCs w:val="24"/>
              </w:rPr>
              <w:t>（公章）</w:t>
            </w:r>
            <w:r w:rsidRPr="001A0727">
              <w:rPr>
                <w:rFonts w:ascii="华文楷体" w:eastAsia="华文楷体" w:hAnsi="华文楷体" w:hint="eastAsia"/>
                <w:sz w:val="24"/>
                <w:szCs w:val="24"/>
              </w:rPr>
              <w:t xml:space="preserve">            </w:t>
            </w:r>
          </w:p>
        </w:tc>
      </w:tr>
    </w:tbl>
    <w:p w:rsidR="00970187" w:rsidRDefault="00970187" w:rsidP="00970187">
      <w:pPr>
        <w:spacing w:line="360" w:lineRule="exact"/>
        <w:ind w:leftChars="100" w:left="21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联系人：              联系电话：          填表时间：  年   月   日</w:t>
      </w:r>
    </w:p>
    <w:p w:rsidR="00D766A5" w:rsidRPr="00112BA0" w:rsidRDefault="00D766A5"/>
    <w:sectPr w:rsidR="00D766A5" w:rsidRPr="00112BA0" w:rsidSect="00F76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9AA" w:rsidRDefault="004629AA" w:rsidP="00112BA0">
      <w:r>
        <w:separator/>
      </w:r>
    </w:p>
  </w:endnote>
  <w:endnote w:type="continuationSeparator" w:id="1">
    <w:p w:rsidR="004629AA" w:rsidRDefault="004629AA" w:rsidP="00112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9AA" w:rsidRDefault="004629AA" w:rsidP="00112BA0">
      <w:r>
        <w:separator/>
      </w:r>
    </w:p>
  </w:footnote>
  <w:footnote w:type="continuationSeparator" w:id="1">
    <w:p w:rsidR="004629AA" w:rsidRDefault="004629AA" w:rsidP="00112BA0">
      <w:r>
        <w:continuationSeparator/>
      </w:r>
    </w:p>
  </w:footnote>
  <w:footnote w:id="2">
    <w:p w:rsidR="00112BA0" w:rsidRPr="00E47529" w:rsidRDefault="00112BA0" w:rsidP="00112BA0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按照《银发</w:t>
      </w:r>
      <w:r>
        <w:rPr>
          <w:rFonts w:hint="eastAsia"/>
        </w:rPr>
        <w:t>[2017]9</w:t>
      </w:r>
      <w:r>
        <w:rPr>
          <w:rFonts w:hint="eastAsia"/>
        </w:rPr>
        <w:t>号》第八条规定，外币跨境融资以提款日的汇率水平折算。</w:t>
      </w:r>
    </w:p>
  </w:footnote>
  <w:footnote w:id="3">
    <w:p w:rsidR="00112BA0" w:rsidRPr="00415A3C" w:rsidRDefault="00112BA0" w:rsidP="00112BA0">
      <w:pPr>
        <w:pStyle w:val="a5"/>
      </w:pPr>
      <w:r>
        <w:rPr>
          <w:rStyle w:val="a6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债务人类型请按以下分类填写：中资企业、外资企业。</w:t>
      </w:r>
    </w:p>
  </w:footnote>
  <w:footnote w:id="4">
    <w:p w:rsidR="00112BA0" w:rsidRDefault="00112BA0" w:rsidP="00112BA0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根据债务人上年度或最新的经审计的会计报表填写。</w:t>
      </w:r>
    </w:p>
  </w:footnote>
  <w:footnote w:id="5">
    <w:p w:rsidR="00112BA0" w:rsidRPr="00A134AD" w:rsidRDefault="00112BA0" w:rsidP="00112BA0">
      <w:pPr>
        <w:pStyle w:val="a5"/>
      </w:pPr>
      <w:r>
        <w:rPr>
          <w:rStyle w:val="a6"/>
        </w:rPr>
        <w:footnoteRef/>
      </w:r>
      <w:r>
        <w:t xml:space="preserve"> </w:t>
      </w:r>
      <w:r w:rsidR="00B12C98">
        <w:rPr>
          <w:rFonts w:hint="eastAsia"/>
        </w:rPr>
        <w:t>跨境融资</w:t>
      </w:r>
      <w:r>
        <w:rPr>
          <w:rFonts w:hint="eastAsia"/>
        </w:rPr>
        <w:t>风险加权余额上限</w:t>
      </w:r>
      <w:r>
        <w:rPr>
          <w:rFonts w:hint="eastAsia"/>
        </w:rPr>
        <w:t>=</w:t>
      </w:r>
      <w:r>
        <w:rPr>
          <w:rFonts w:hint="eastAsia"/>
        </w:rPr>
        <w:t>净资产×外债杠杆率×宏观审慎调节参数。其中，外债杠杆率</w:t>
      </w:r>
      <w:r w:rsidR="004F5863">
        <w:rPr>
          <w:rFonts w:hint="eastAsia"/>
        </w:rPr>
        <w:t>初始设定值</w:t>
      </w:r>
      <w:r>
        <w:rPr>
          <w:rFonts w:hint="eastAsia"/>
        </w:rPr>
        <w:t>为</w:t>
      </w:r>
      <w:r>
        <w:rPr>
          <w:rFonts w:hint="eastAsia"/>
        </w:rPr>
        <w:t>2</w:t>
      </w:r>
      <w:r w:rsidR="00C94C07">
        <w:rPr>
          <w:rFonts w:hint="eastAsia"/>
        </w:rPr>
        <w:t>、</w:t>
      </w:r>
      <w:r w:rsidR="00F803F5" w:rsidRPr="00F803F5">
        <w:rPr>
          <w:rFonts w:hint="eastAsia"/>
        </w:rPr>
        <w:t>宏观审慎调节参数的初始值设定为</w:t>
      </w:r>
      <w:r w:rsidR="00F803F5" w:rsidRPr="00F803F5">
        <w:t>1</w:t>
      </w:r>
      <w:r w:rsidR="00F803F5" w:rsidRPr="00F803F5">
        <w:rPr>
          <w:rFonts w:hint="eastAsia"/>
        </w:rPr>
        <w:t>。</w:t>
      </w:r>
    </w:p>
  </w:footnote>
  <w:footnote w:id="6">
    <w:p w:rsidR="00112BA0" w:rsidRPr="00B47CE0" w:rsidRDefault="00112BA0" w:rsidP="00112BA0">
      <w:pPr>
        <w:pStyle w:val="a5"/>
      </w:pPr>
      <w:r>
        <w:rPr>
          <w:rStyle w:val="a6"/>
        </w:rPr>
        <w:footnoteRef/>
      </w:r>
      <w:r>
        <w:t xml:space="preserve"> </w:t>
      </w:r>
      <w:r w:rsidR="004F5863">
        <w:rPr>
          <w:rFonts w:hint="eastAsia"/>
        </w:rPr>
        <w:t>纳入计算的</w:t>
      </w:r>
      <w:r w:rsidR="001818C3">
        <w:rPr>
          <w:rFonts w:hint="eastAsia"/>
        </w:rPr>
        <w:t>中长期外债</w:t>
      </w:r>
      <w:r>
        <w:rPr>
          <w:rFonts w:hint="eastAsia"/>
        </w:rPr>
        <w:t>余额</w:t>
      </w:r>
      <w:r>
        <w:rPr>
          <w:rFonts w:hint="eastAsia"/>
        </w:rPr>
        <w:t xml:space="preserve">= </w:t>
      </w:r>
      <w:r>
        <w:rPr>
          <w:rFonts w:hint="eastAsia"/>
        </w:rPr>
        <w:t>中长期现有外债余额</w:t>
      </w:r>
      <w:r>
        <w:rPr>
          <w:rFonts w:hint="eastAsia"/>
        </w:rPr>
        <w:t xml:space="preserve"> + </w:t>
      </w:r>
      <w:r>
        <w:rPr>
          <w:rFonts w:hint="eastAsia"/>
        </w:rPr>
        <w:t>中长期本笔外债签约额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不纳入计算的业务类型的中长期外债余额。</w:t>
      </w:r>
      <w:r w:rsidR="004F5863">
        <w:rPr>
          <w:rFonts w:hint="eastAsia"/>
        </w:rPr>
        <w:t>纳入计算的</w:t>
      </w:r>
      <w:r>
        <w:rPr>
          <w:rFonts w:hint="eastAsia"/>
        </w:rPr>
        <w:t>短期外债和外币外债余额参照此公式计算。</w:t>
      </w:r>
    </w:p>
  </w:footnote>
  <w:footnote w:id="7">
    <w:p w:rsidR="00112BA0" w:rsidRDefault="00112BA0" w:rsidP="00112BA0">
      <w:pPr>
        <w:pStyle w:val="a5"/>
      </w:pPr>
      <w:r>
        <w:rPr>
          <w:rStyle w:val="a6"/>
        </w:rPr>
        <w:footnoteRef/>
      </w:r>
      <w:r>
        <w:rPr>
          <w:rFonts w:hint="eastAsia"/>
        </w:rPr>
        <w:t xml:space="preserve"> </w:t>
      </w:r>
      <w:r w:rsidR="004F5863">
        <w:rPr>
          <w:rFonts w:hint="eastAsia"/>
        </w:rPr>
        <w:t>跨境融资</w:t>
      </w:r>
      <w:r>
        <w:rPr>
          <w:rFonts w:hint="eastAsia"/>
        </w:rPr>
        <w:t>风险加权余额</w:t>
      </w:r>
      <w:r>
        <w:rPr>
          <w:rFonts w:hint="eastAsia"/>
        </w:rPr>
        <w:t>=</w:t>
      </w:r>
      <w:r w:rsidR="004F5863">
        <w:rPr>
          <w:rFonts w:hint="eastAsia"/>
        </w:rPr>
        <w:t>纳入计算的</w:t>
      </w:r>
      <w:r>
        <w:rPr>
          <w:rFonts w:hint="eastAsia"/>
        </w:rPr>
        <w:t>中长期外债余额×中长期外债期限风险转换因子</w:t>
      </w:r>
      <w:r>
        <w:rPr>
          <w:rFonts w:hint="eastAsia"/>
        </w:rPr>
        <w:t>+</w:t>
      </w:r>
      <w:r w:rsidR="004F5863">
        <w:rPr>
          <w:rFonts w:hint="eastAsia"/>
        </w:rPr>
        <w:t>纳入计算的</w:t>
      </w:r>
      <w:r>
        <w:rPr>
          <w:rFonts w:hint="eastAsia"/>
        </w:rPr>
        <w:t>短期外债余额×短期外债期限风险转换因子</w:t>
      </w:r>
      <w:r>
        <w:rPr>
          <w:rFonts w:hint="eastAsia"/>
        </w:rPr>
        <w:t>+</w:t>
      </w:r>
      <w:r w:rsidR="004F5863">
        <w:rPr>
          <w:rFonts w:hint="eastAsia"/>
        </w:rPr>
        <w:t>纳入计算的</w:t>
      </w:r>
      <w:r>
        <w:rPr>
          <w:rFonts w:hint="eastAsia"/>
        </w:rPr>
        <w:t>外币外债余额×汇率风险折算因子。其中，中长期、短期外债期限风险转换因子分别为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1.5</w:t>
      </w:r>
      <w:r>
        <w:rPr>
          <w:rFonts w:hint="eastAsia"/>
        </w:rPr>
        <w:t>；汇率风险折算因子为</w:t>
      </w:r>
      <w:r>
        <w:rPr>
          <w:rFonts w:hint="eastAsia"/>
        </w:rPr>
        <w:t>0.5</w:t>
      </w:r>
      <w:r>
        <w:rPr>
          <w:rFonts w:hint="eastAsia"/>
        </w:rPr>
        <w:t>。</w:t>
      </w:r>
    </w:p>
    <w:p w:rsidR="00C82D81" w:rsidRDefault="00C82D81" w:rsidP="00112BA0">
      <w:pPr>
        <w:pStyle w:val="a5"/>
      </w:pPr>
      <w:r w:rsidRPr="006D17B9">
        <w:rPr>
          <w:rStyle w:val="a6"/>
          <w:rFonts w:hint="eastAsia"/>
        </w:rPr>
        <w:t>7</w:t>
      </w:r>
      <w:r w:rsidR="00F803F5" w:rsidRPr="00F803F5">
        <w:rPr>
          <w:rFonts w:hint="eastAsia"/>
        </w:rPr>
        <w:t>上述相关因子、杠杆率及调节参数以人民银行、外汇局最新调整文件为准。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2BA0"/>
    <w:rsid w:val="000259A3"/>
    <w:rsid w:val="0003025B"/>
    <w:rsid w:val="0008212A"/>
    <w:rsid w:val="00112BA0"/>
    <w:rsid w:val="00160EBC"/>
    <w:rsid w:val="001818C3"/>
    <w:rsid w:val="001D1539"/>
    <w:rsid w:val="00241A62"/>
    <w:rsid w:val="002E6BE0"/>
    <w:rsid w:val="004310E4"/>
    <w:rsid w:val="004629AA"/>
    <w:rsid w:val="00476A68"/>
    <w:rsid w:val="004F5863"/>
    <w:rsid w:val="005206CA"/>
    <w:rsid w:val="00560FC1"/>
    <w:rsid w:val="00624B1D"/>
    <w:rsid w:val="00626AE9"/>
    <w:rsid w:val="0065185D"/>
    <w:rsid w:val="006D17B9"/>
    <w:rsid w:val="007266AB"/>
    <w:rsid w:val="007316BE"/>
    <w:rsid w:val="0075555A"/>
    <w:rsid w:val="00852D34"/>
    <w:rsid w:val="008E46F0"/>
    <w:rsid w:val="00970187"/>
    <w:rsid w:val="00B12C98"/>
    <w:rsid w:val="00B43471"/>
    <w:rsid w:val="00B62E9F"/>
    <w:rsid w:val="00BA2931"/>
    <w:rsid w:val="00BC71A6"/>
    <w:rsid w:val="00C61FA2"/>
    <w:rsid w:val="00C82D81"/>
    <w:rsid w:val="00C94C07"/>
    <w:rsid w:val="00D55973"/>
    <w:rsid w:val="00D766A5"/>
    <w:rsid w:val="00DB655C"/>
    <w:rsid w:val="00E9356C"/>
    <w:rsid w:val="00F05F5E"/>
    <w:rsid w:val="00F33413"/>
    <w:rsid w:val="00F803F5"/>
    <w:rsid w:val="00FA7350"/>
    <w:rsid w:val="00FC6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2B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2B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2B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2BA0"/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rsid w:val="00112BA0"/>
    <w:pPr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112BA0"/>
    <w:rPr>
      <w:rFonts w:ascii="Calibri" w:eastAsia="宋体" w:hAnsi="Calibri" w:cs="Times New Roman"/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112BA0"/>
    <w:rPr>
      <w:vertAlign w:val="superscript"/>
    </w:rPr>
  </w:style>
  <w:style w:type="paragraph" w:styleId="a7">
    <w:name w:val="Balloon Text"/>
    <w:basedOn w:val="a"/>
    <w:link w:val="Char2"/>
    <w:uiPriority w:val="99"/>
    <w:semiHidden/>
    <w:unhideWhenUsed/>
    <w:rsid w:val="006D17B9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D17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史文</dc:creator>
  <cp:lastModifiedBy>y</cp:lastModifiedBy>
  <cp:revision>10</cp:revision>
  <dcterms:created xsi:type="dcterms:W3CDTF">2021-04-13T01:42:00Z</dcterms:created>
  <dcterms:modified xsi:type="dcterms:W3CDTF">2023-08-30T02:01:00Z</dcterms:modified>
</cp:coreProperties>
</file>