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000171112006</w:t>
      </w:r>
      <w:r>
        <w:rPr>
          <w:rFonts w:hint="eastAsia" w:ascii="Times New Roman" w:hAnsi="Times New Roman" w:eastAsia="黑体" w:cs="Times New Roman"/>
          <w:sz w:val="48"/>
          <w:szCs w:val="48"/>
          <w:lang w:val="en-US" w:eastAsia="zh-CN"/>
        </w:rPr>
        <w:t xml:space="preserve"> </w:t>
      </w:r>
      <w:r>
        <w:rPr>
          <w:rFonts w:hint="eastAsia" w:ascii="Times New Roman" w:hAnsi="Times New Roman" w:eastAsia="黑体" w:cs="Times New Roman"/>
          <w:sz w:val="48"/>
          <w:szCs w:val="48"/>
        </w:rPr>
        <w:t xml:space="preserve">     </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省分局</w:t>
      </w:r>
      <w:r>
        <w:rPr>
          <w:rFonts w:hint="eastAsia" w:ascii="Times New Roman" w:hAnsi="Times New Roman" w:eastAsia="黑体" w:cs="Times New Roman"/>
          <w:sz w:val="52"/>
          <w:szCs w:val="52"/>
        </w:rPr>
        <w:t>办理的银行分行（含农村信用社）即期结售汇业务市场准入审批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420" w:firstLineChars="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办理的银行分行（含农村信用社）即期结售汇业务市场准入审批【000171112006】</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办理的银行分行（含农村信用社）即期结售汇业务市场准入审批（00017111200601）</w:t>
      </w:r>
    </w:p>
    <w:p>
      <w:pPr>
        <w:adjustRightInd w:val="0"/>
        <w:snapToGrid w:val="0"/>
        <w:spacing w:line="360" w:lineRule="auto"/>
        <w:ind w:firstLine="420" w:firstLineChars="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《银行办理结售汇业务管理办法实施细则》（汇发〔2014〕53号文印发）第九条、第十二条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现场</w:t>
      </w:r>
      <w:r>
        <w:rPr>
          <w:rFonts w:ascii="Times New Roman" w:hAnsi="Times New Roman" w:eastAsia="仿宋_GB2312" w:cs="Times New Roman"/>
          <w:sz w:val="30"/>
          <w:szCs w:val="30"/>
        </w:rPr>
        <w:t>、邮寄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4.不予许可的，出具不予许可通知书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w:t>
      </w:r>
      <w:r>
        <w:rPr>
          <w:rFonts w:hint="eastAsia" w:ascii="Times New Roman" w:hAnsi="Times New Roman" w:eastAsia="仿宋_GB2312" w:cs="Times New Roman"/>
          <w:sz w:val="30"/>
          <w:szCs w:val="30"/>
        </w:rPr>
        <w:t>《银行办理即期结售汇业务备案表》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安徽</w:t>
      </w:r>
      <w:bookmarkStart w:id="0" w:name="_GoBack"/>
      <w:bookmarkEnd w:id="0"/>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3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9</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4B1139"/>
    <w:rsid w:val="0761245C"/>
    <w:rsid w:val="0B831EEA"/>
    <w:rsid w:val="0C0440D3"/>
    <w:rsid w:val="0DAF3A04"/>
    <w:rsid w:val="0ED128AF"/>
    <w:rsid w:val="18EE262F"/>
    <w:rsid w:val="1EB429A5"/>
    <w:rsid w:val="20A00CB0"/>
    <w:rsid w:val="22380181"/>
    <w:rsid w:val="22E408AB"/>
    <w:rsid w:val="27B80AC8"/>
    <w:rsid w:val="2942487C"/>
    <w:rsid w:val="2A092DA5"/>
    <w:rsid w:val="2F622D6A"/>
    <w:rsid w:val="32406C38"/>
    <w:rsid w:val="3B9C4ECD"/>
    <w:rsid w:val="4B8C1C4E"/>
    <w:rsid w:val="4BE875A4"/>
    <w:rsid w:val="4D4F6F59"/>
    <w:rsid w:val="527D347E"/>
    <w:rsid w:val="56E40D91"/>
    <w:rsid w:val="5A3330D6"/>
    <w:rsid w:val="6114284F"/>
    <w:rsid w:val="61A1343B"/>
    <w:rsid w:val="6B0543B5"/>
    <w:rsid w:val="6DE02217"/>
    <w:rsid w:val="70EC2A0B"/>
    <w:rsid w:val="79AB1393"/>
    <w:rsid w:val="7A0C4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1</TotalTime>
  <ScaleCrop>false</ScaleCrop>
  <LinksUpToDate>false</LinksUpToDate>
  <CharactersWithSpaces>3529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吴文斌</cp:lastModifiedBy>
  <cp:lastPrinted>2017-11-24T00:22:00Z</cp:lastPrinted>
  <dcterms:modified xsi:type="dcterms:W3CDTF">2023-08-31T06:26:21Z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