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default" w:ascii="Times New Roman" w:hAnsi="Times New Roman" w:eastAsia="黑体" w:cs="Times New Roman"/>
          <w:sz w:val="48"/>
          <w:szCs w:val="48"/>
          <w:lang w:val="en-US" w:eastAsia="zh-CN"/>
        </w:rPr>
        <w:t>000171106004</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114300" distR="114300">
            <wp:extent cx="1104900" cy="885825"/>
            <wp:effectExtent l="0" t="0" r="0" b="952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1104900"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default" w:ascii="Times New Roman" w:hAnsi="Times New Roman" w:eastAsia="黑体" w:cs="Times New Roman"/>
          <w:sz w:val="52"/>
          <w:szCs w:val="52"/>
          <w:lang w:eastAsia="zh-CN"/>
        </w:rPr>
        <w:t>银行跨境调运外币现钞</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0" w:name="_Toc349079463"/>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1" w:name="_Toc443077040"/>
      <w:r>
        <w:rPr>
          <w:rFonts w:hint="default" w:ascii="Times New Roman" w:hAnsi="Times New Roman" w:eastAsia="仿宋_GB2312" w:cs="Times New Roman"/>
          <w:sz w:val="30"/>
          <w:szCs w:val="30"/>
          <w:lang w:val="en-US"/>
        </w:rPr>
        <w:t>外币现钞提取、出境携带、跨境调运核准</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00017110600Y</w:t>
      </w:r>
      <w:r>
        <w:rPr>
          <w:rFonts w:hint="default" w:ascii="Times New Roman" w:hAnsi="Times New Roman" w:eastAsia="仿宋_GB2312" w:cs="Times New Roman"/>
          <w:sz w:val="30"/>
          <w:szCs w:val="30"/>
          <w:lang w:val="en-US" w:eastAsia="zh-CN"/>
        </w:rPr>
        <w:t>】</w:t>
      </w:r>
      <w:bookmarkEnd w:id="1"/>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2" w:name="_Toc1754290014"/>
      <w:r>
        <w:rPr>
          <w:rFonts w:hint="default" w:ascii="Times New Roman" w:hAnsi="Times New Roman" w:eastAsia="仿宋_GB2312" w:cs="Times New Roman"/>
          <w:sz w:val="30"/>
          <w:szCs w:val="30"/>
          <w:lang w:val="en-US" w:eastAsia="zh-CN"/>
        </w:rPr>
        <w:t>2.行政许可事项子项名称及编码</w:t>
      </w:r>
      <w:bookmarkEnd w:id="2"/>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rPr>
        <w:t>银行跨境调运外币现钞【000171106004】</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3" w:name="_Toc1968156942"/>
      <w:r>
        <w:rPr>
          <w:rFonts w:hint="default" w:ascii="Times New Roman" w:hAnsi="Times New Roman" w:eastAsia="仿宋_GB2312" w:cs="Times New Roman"/>
          <w:sz w:val="30"/>
          <w:szCs w:val="30"/>
          <w:lang w:val="en-US" w:eastAsia="zh-CN"/>
        </w:rPr>
        <w:t>3.行政许可事项业务办理项名称及编码</w:t>
      </w:r>
      <w:bookmarkEnd w:id="3"/>
    </w:p>
    <w:p>
      <w:pPr>
        <w:adjustRightInd w:val="0"/>
        <w:snapToGrid w:val="0"/>
        <w:spacing w:line="360" w:lineRule="auto"/>
        <w:ind w:firstLine="585"/>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银行跨境调运外币现钞核准新办</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00017110600401</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银行跨境调运外币现钞核准停办</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00017110600402</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default" w:ascii="Times New Roman" w:hAnsi="Times New Roman" w:eastAsia="仿宋_GB2312" w:cs="Times New Roman"/>
          <w:sz w:val="30"/>
          <w:szCs w:val="30"/>
          <w:lang w:val="en-US"/>
        </w:rPr>
        <w:t>银行跨境调运外币现钞</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《国务院对确需保留的行政审批项目设定行政许可的决定》（国务院令第412号）附件第495项“机构单笔提取超过规定金额外币现钞审批”。</w:t>
      </w:r>
    </w:p>
    <w:p>
      <w:pPr>
        <w:adjustRightInd w:val="0"/>
        <w:snapToGrid w:val="0"/>
        <w:spacing w:line="360" w:lineRule="auto"/>
        <w:ind w:firstLine="585"/>
      </w:pPr>
      <w:bookmarkStart w:id="4" w:name="_Toc1563623373"/>
      <w:bookmarkStart w:id="5" w:name="_Toc385264726"/>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《中华人民共和国外汇管理条例》</w:t>
      </w:r>
      <w:r>
        <w:rPr>
          <w:rFonts w:ascii="Times New Roman" w:hAnsi="Times New Roman" w:eastAsia="仿宋_GB2312" w:cs="Times New Roman"/>
          <w:sz w:val="30"/>
          <w:szCs w:val="30"/>
        </w:rPr>
        <w:t>（国务院令第532号）</w:t>
      </w:r>
      <w:r>
        <w:rPr>
          <w:rFonts w:hint="default" w:ascii="Times New Roman" w:hAnsi="Times New Roman" w:eastAsia="仿宋_GB2312" w:cs="Times New Roman"/>
          <w:sz w:val="30"/>
          <w:szCs w:val="30"/>
          <w:lang w:val="en-US" w:eastAsia="zh-CN"/>
        </w:rPr>
        <w:t>第十五条</w:t>
      </w:r>
      <w:bookmarkEnd w:id="4"/>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eastAsia="zh-CN"/>
        </w:rPr>
        <w:t>携带、申报外币现钞出入境的限额，由国务院外汇管理部门规定”。</w:t>
      </w:r>
      <w:bookmarkEnd w:id="5"/>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585"/>
        <w:rPr>
          <w:rFonts w:hint="default" w:ascii="Times New Roman" w:hAnsi="Times New Roman" w:eastAsia="仿宋_GB2312" w:cs="Times New Roman"/>
          <w:sz w:val="30"/>
          <w:szCs w:val="30"/>
          <w:lang w:eastAsia="zh-CN"/>
        </w:rPr>
      </w:pPr>
      <w:bookmarkStart w:id="6" w:name="_Toc1655635690"/>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《调运外币现钞进出境管理规定》（汇发〔2019〕16号文）</w:t>
      </w:r>
      <w:bookmarkEnd w:id="6"/>
      <w:r>
        <w:rPr>
          <w:rFonts w:hint="default" w:ascii="Times New Roman" w:hAnsi="Times New Roman" w:eastAsia="仿宋_GB2312" w:cs="Times New Roman"/>
          <w:sz w:val="30"/>
          <w:szCs w:val="30"/>
          <w:lang w:eastAsia="zh-CN"/>
        </w:rPr>
        <w:t>第三条、第四条、第七条</w:t>
      </w:r>
    </w:p>
    <w:p>
      <w:pPr>
        <w:adjustRightInd w:val="0"/>
        <w:snapToGrid w:val="0"/>
        <w:spacing w:line="360" w:lineRule="auto"/>
        <w:ind w:firstLine="585"/>
        <w:rPr>
          <w:rFonts w:hint="default" w:ascii="Times New Roman" w:hAnsi="Times New Roman" w:eastAsia="仿宋_GB2312" w:cs="Times New Roman"/>
          <w:sz w:val="30"/>
          <w:szCs w:val="30"/>
          <w:lang w:eastAsia="zh-CN"/>
        </w:rPr>
      </w:pPr>
      <w:bookmarkStart w:id="7" w:name="_Toc1306554825"/>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《国家外汇管理局行政许可实施办法》（国家外汇管理局公告2021年第1号）</w:t>
      </w:r>
      <w:bookmarkEnd w:id="7"/>
      <w:r>
        <w:rPr>
          <w:rFonts w:hint="default" w:ascii="Times New Roman" w:hAnsi="Times New Roman" w:eastAsia="仿宋_GB2312" w:cs="Times New Roman"/>
          <w:sz w:val="30"/>
          <w:szCs w:val="30"/>
          <w:lang w:eastAsia="zh-CN"/>
        </w:rPr>
        <w:t>全文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cs="Times New Roman"/>
          <w:spacing w:val="-1"/>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cs="Times New Roman"/>
          <w:spacing w:val="-1"/>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银行跨境调运外币现钞核准新办</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申请人是银行总行（外国银行分行视同总行）。</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有调运外币现钞进出境的实际需求。</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银行跨境调运外币现钞核准停办</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已获得调运外币现钞进出境业务资格的境内商业银行（外国银行分行视同总行）。</w:t>
      </w:r>
    </w:p>
    <w:p>
      <w:pPr>
        <w:adjustRightInd w:val="0"/>
        <w:snapToGrid w:val="0"/>
        <w:spacing w:line="360" w:lineRule="auto"/>
        <w:ind w:firstLine="600" w:firstLineChars="200"/>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有停办调运外币现钞进出境的需求。</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lang w:val="en-US" w:eastAsia="zh-CN"/>
        </w:rPr>
        <w:t>银行跨境调运外币现钞核准新办</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3739"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营业执照（统一社会信用代码证）</w:t>
            </w:r>
          </w:p>
        </w:tc>
        <w:tc>
          <w:tcPr>
            <w:tcW w:w="1006"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原件或加盖公章的复印件</w:t>
            </w:r>
          </w:p>
        </w:tc>
        <w:tc>
          <w:tcPr>
            <w:tcW w:w="719"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val="en-US" w:eastAsia="zh-CN"/>
        </w:rPr>
        <w:t>2.银行跨境调运外币现钞核准停办</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银行停办调运外币现钞进出境业务备案表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分局应自申请人备案之日起10个工作日内将备案银行情况书面通知当地直属海关，同时抄送国家外汇管理局及辖内</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；当地直属海关收到当地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分局提交《银行停办调运外币现钞进出境业务备案表》履行停办备案手续。</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一般程序：申请、受理、初审、作出审批决定、出具《银行办理调运外币现钞进出境业务备案表》。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审批结果</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《银行办理调运外币现钞进出境业务备案表》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十九</w:t>
      </w:r>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安徽</w:t>
      </w:r>
      <w:bookmarkStart w:id="8" w:name="_GoBack"/>
      <w:bookmarkEnd w:id="8"/>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rPr>
        <w:t>“业务指南”栏目中公布的电话进行。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tabs>
          <w:tab w:val="left" w:pos="630"/>
        </w:tabs>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-525145</wp:posOffset>
                </wp:positionH>
                <wp:positionV relativeFrom="paragraph">
                  <wp:posOffset>203835</wp:posOffset>
                </wp:positionV>
                <wp:extent cx="6021705" cy="5575935"/>
                <wp:effectExtent l="9525" t="4445" r="7620" b="20320"/>
                <wp:wrapNone/>
                <wp:docPr id="20" name="Group 67"/>
                <wp:cNvGraphicFramePr/>
                <a:graphic xmlns:a="http://schemas.openxmlformats.org/drawingml/2006/main">
                  <a:graphicData uri="http://schemas.microsoft.com/office/word/2010/wordprocessingGroup">
                    <wpg:wgp>
                      <wpg:cNvGrpSpPr/>
                      <wpg:grpSpPr>
                        <a:xfrm>
                          <a:off x="0" y="0"/>
                          <a:ext cx="6021705" cy="5575935"/>
                          <a:chOff x="718" y="3009"/>
                          <a:chExt cx="9483" cy="8781"/>
                        </a:xfrm>
                      </wpg:grpSpPr>
                      <wps:wsp>
                        <wps:cNvPr id="1" name="圆角矩形 20"/>
                        <wps:cNvSpPr/>
                        <wps:spPr>
                          <a:xfrm>
                            <a:off x="1298" y="3009"/>
                            <a:ext cx="2979" cy="168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2" name="圆角矩形 17"/>
                        <wps:cNvSpPr/>
                        <wps:spPr>
                          <a:xfrm>
                            <a:off x="7272" y="4592"/>
                            <a:ext cx="2929" cy="67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420" w:firstLineChars="200"/>
                              </w:pPr>
                              <w:r>
                                <w:rPr>
                                  <w:rFonts w:hint="eastAsia"/>
                                </w:rPr>
                                <w:t>申请人补全材料</w:t>
                              </w:r>
                            </w:p>
                          </w:txbxContent>
                        </wps:txbx>
                        <wps:bodyPr upright="1"/>
                      </wps:wsp>
                      <wps:wsp>
                        <wps:cNvPr id="3" name="圆角矩形 10"/>
                        <wps:cNvSpPr/>
                        <wps:spPr>
                          <a:xfrm>
                            <a:off x="4730" y="5541"/>
                            <a:ext cx="5362" cy="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材料不全或不符合法定形式的，一次性告知补正材料</w:t>
                              </w:r>
                            </w:p>
                          </w:txbxContent>
                        </wps:txbx>
                        <wps:bodyPr upright="1"/>
                      </wps:wsp>
                      <wps:wsp>
                        <wps:cNvPr id="4" name="圆角矩形 8"/>
                        <wps:cNvSpPr/>
                        <wps:spPr>
                          <a:xfrm>
                            <a:off x="4699" y="6297"/>
                            <a:ext cx="5362" cy="90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依法不予受理的，作出不予受理决定，出具不予受理通知书</w:t>
                              </w:r>
                            </w:p>
                          </w:txbxContent>
                        </wps:txbx>
                        <wps:bodyPr upright="1"/>
                      </wps:wsp>
                      <wps:wsp>
                        <wps:cNvPr id="5" name="圆角矩形 14"/>
                        <wps:cNvSpPr/>
                        <wps:spPr>
                          <a:xfrm>
                            <a:off x="3434" y="7971"/>
                            <a:ext cx="4218" cy="6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525" w:firstLineChars="250"/>
                              </w:pPr>
                              <w:r>
                                <w:rPr>
                                  <w:rFonts w:hint="eastAsia"/>
                                </w:rPr>
                                <w:t>依法应予受理，出具受理单</w:t>
                              </w:r>
                            </w:p>
                          </w:txbxContent>
                        </wps:txbx>
                        <wps:bodyPr upright="1"/>
                      </wps:wsp>
                      <wps:wsp>
                        <wps:cNvPr id="6" name="圆角矩形 1"/>
                        <wps:cNvSpPr/>
                        <wps:spPr>
                          <a:xfrm>
                            <a:off x="3434" y="9011"/>
                            <a:ext cx="4219" cy="70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审查报批</w:t>
                              </w:r>
                            </w:p>
                          </w:txbxContent>
                        </wps:txbx>
                        <wps:bodyPr upright="1"/>
                      </wps:wsp>
                      <wps:wsp>
                        <wps:cNvPr id="7" name="圆角矩形 5"/>
                        <wps:cNvSpPr/>
                        <wps:spPr>
                          <a:xfrm>
                            <a:off x="6174" y="10618"/>
                            <a:ext cx="3617"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依法作出不予许可决定，并送达</w:t>
                              </w:r>
                            </w:p>
                          </w:txbxContent>
                        </wps:txbx>
                        <wps:bodyPr upright="1"/>
                      </wps:wsp>
                      <wps:wsp>
                        <wps:cNvPr id="8" name="圆角矩形 4"/>
                        <wps:cNvSpPr/>
                        <wps:spPr>
                          <a:xfrm>
                            <a:off x="1848" y="10618"/>
                            <a:ext cx="3952"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eastAsia="宋体" w:cs="宋体"/>
                                </w:rPr>
                              </w:pPr>
                              <w:r>
                                <w:rPr>
                                  <w:rFonts w:hint="eastAsia" w:ascii="宋体" w:hAnsi="宋体" w:eastAsia="宋体" w:cs="宋体"/>
                                  <w:sz w:val="21"/>
                                  <w:szCs w:val="21"/>
                                </w:rPr>
                                <w:t>予以许可，向申请人出具加盖签章的《银行办理调运外币现钞进出境业务备案表》</w:t>
                              </w:r>
                            </w:p>
                          </w:txbxContent>
                        </wps:txbx>
                        <wps:bodyPr upright="1"/>
                      </wps:wsp>
                      <wps:wsp>
                        <wps:cNvPr id="9" name="直接箭头连接符 18"/>
                        <wps:cNvCnPr/>
                        <wps:spPr>
                          <a:xfrm rot="5400000">
                            <a:off x="2360" y="4941"/>
                            <a:ext cx="499" cy="0"/>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1"/>
                        <wps:cNvCnPr/>
                        <wps:spPr>
                          <a:xfrm>
                            <a:off x="3540" y="5784"/>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1" name="直接箭头连接符 7"/>
                        <wps:cNvCnPr/>
                        <wps:spPr>
                          <a:xfrm>
                            <a:off x="3525" y="6735"/>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2" name="直接箭头连接符 19"/>
                        <wps:cNvCnPr/>
                        <wps:spPr>
                          <a:xfrm flipH="1">
                            <a:off x="2629" y="4981"/>
                            <a:ext cx="4643" cy="1"/>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5490" y="8574"/>
                            <a:ext cx="0" cy="437"/>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3"/>
                        <wps:cNvCnPr/>
                        <wps:spPr>
                          <a:xfrm>
                            <a:off x="6771" y="9713"/>
                            <a:ext cx="17" cy="905"/>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2"/>
                        <wps:cNvCnPr/>
                        <wps:spPr>
                          <a:xfrm>
                            <a:off x="4289" y="9713"/>
                            <a:ext cx="1" cy="905"/>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5"/>
                        <wps:cNvCnPr/>
                        <wps:spPr>
                          <a:xfrm>
                            <a:off x="2612" y="6826"/>
                            <a:ext cx="0" cy="1391"/>
                          </a:xfrm>
                          <a:prstGeom prst="straightConnector1">
                            <a:avLst/>
                          </a:prstGeom>
                          <a:ln w="9525" cap="flat" cmpd="sng">
                            <a:solidFill>
                              <a:srgbClr val="000000"/>
                            </a:solidFill>
                            <a:prstDash val="solid"/>
                            <a:headEnd type="none" w="med" len="med"/>
                            <a:tailEnd type="none" w="med" len="med"/>
                          </a:ln>
                        </wps:spPr>
                        <wps:bodyPr/>
                      </wps:wsp>
                      <wps:wsp>
                        <wps:cNvPr id="17" name="直接箭头连接符 16"/>
                        <wps:cNvCnPr/>
                        <wps:spPr>
                          <a:xfrm>
                            <a:off x="2612" y="8217"/>
                            <a:ext cx="822" cy="0"/>
                          </a:xfrm>
                          <a:prstGeom prst="straightConnector1">
                            <a:avLst/>
                          </a:prstGeom>
                          <a:ln w="9525" cap="flat" cmpd="sng">
                            <a:solidFill>
                              <a:srgbClr val="000000"/>
                            </a:solidFill>
                            <a:prstDash val="solid"/>
                            <a:headEnd type="none" w="med" len="med"/>
                            <a:tailEnd type="triangle" w="med" len="med"/>
                          </a:ln>
                        </wps:spPr>
                        <wps:bodyPr/>
                      </wps:wsp>
                      <wps:wsp>
                        <wps:cNvPr id="18" name="流程图: 决策 6"/>
                        <wps:cNvSpPr/>
                        <wps:spPr>
                          <a:xfrm>
                            <a:off x="718" y="5192"/>
                            <a:ext cx="3796" cy="22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9" name="Straight Connector 86"/>
                        <wps:cNvCnPr/>
                        <wps:spPr>
                          <a:xfrm flipV="1">
                            <a:off x="8910" y="5266"/>
                            <a:ext cx="1" cy="27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Group 67" o:spid="_x0000_s1026" o:spt="203" style="position:absolute;left:0pt;margin-left:-41.35pt;margin-top:16.05pt;height:439.05pt;width:474.15pt;z-index:251659264;mso-width-relative:page;mso-height-relative:page;" coordorigin="718,3009" coordsize="9483,8781" o:gfxdata="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Av3hh5&#10;2wAAAAoBAAAPAAAAAAAAAAEAIAAAACIAAABkcnMvZG93bnJldi54bWxQSwECFAAUAAAACACHTuJA&#10;H8sCnOcFAABMLgAADgAAAAAAAAABACAAAAAqAQAAZHJzL2Uyb0RvYy54bWxQSwUGAAAAAAYABgBZ&#10;AQAAgwkAAAAA&#10;">
                <o:lock v:ext="edit" aspectratio="f"/>
                <v:roundrect id="圆角矩形 20" o:spid="_x0000_s1026" o:spt="2" style="position:absolute;left:1298;top:3009;height:1684;width:2979;"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6" o:spt="2" style="position:absolute;left:7272;top:4592;height:674;width:2929;"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420" w:firstLineChars="200"/>
                        </w:pPr>
                        <w:r>
                          <w:rPr>
                            <w:rFonts w:hint="eastAsia"/>
                          </w:rPr>
                          <w:t>申请人补全材料</w:t>
                        </w:r>
                      </w:p>
                    </w:txbxContent>
                  </v:textbox>
                </v:roundrect>
                <v:roundrect id="圆角矩形 10" o:spid="_x0000_s1026" o:spt="2" style="position:absolute;left:4730;top:5541;height:500;width:5362;"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材料不全或不符合法定形式的，一次性告知补正材料</w:t>
                        </w:r>
                      </w:p>
                    </w:txbxContent>
                  </v:textbox>
                </v:roundrect>
                <v:roundrect id="圆角矩形 8" o:spid="_x0000_s1026" o:spt="2" style="position:absolute;left:4699;top:6297;height:906;width:5362;"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依法不予受理的，作出不予受理决定，出具不予受理通知书</w:t>
                        </w:r>
                      </w:p>
                    </w:txbxContent>
                  </v:textbox>
                </v:roundrect>
                <v:roundrect id="圆角矩形 14" o:spid="_x0000_s1026" o:spt="2" style="position:absolute;left:3434;top:7971;height:603;width:4218;"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525" w:firstLineChars="250"/>
                        </w:pPr>
                        <w:r>
                          <w:rPr>
                            <w:rFonts w:hint="eastAsia"/>
                          </w:rPr>
                          <w:t>依法应予受理，出具受理单</w:t>
                        </w:r>
                      </w:p>
                    </w:txbxContent>
                  </v:textbox>
                </v:roundrect>
                <v:roundrect id="圆角矩形 1" o:spid="_x0000_s1026" o:spt="2" style="position:absolute;left:3434;top:9011;height:702;width:4219;"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审查报批</w:t>
                        </w:r>
                      </w:p>
                    </w:txbxContent>
                  </v:textbox>
                </v:roundrect>
                <v:roundrect id="圆角矩形 5" o:spid="_x0000_s1026" o:spt="2" style="position:absolute;left:6174;top:10618;height:1172;width:3617;" fillcolor="#FFFFFF" filled="t" stroked="t" coordsize="21600,21600" arcsize="0.166666666666667" o:gfxdata="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60m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依法作出不予许可决定，并送达</w:t>
                        </w:r>
                      </w:p>
                    </w:txbxContent>
                  </v:textbox>
                </v:roundrect>
                <v:roundrect id="圆角矩形 4" o:spid="_x0000_s1026" o:spt="2" style="position:absolute;left:1848;top:10618;height:1172;width:3952;"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rPr>
                            <w:rFonts w:hint="eastAsia" w:ascii="宋体" w:hAnsi="宋体" w:eastAsia="宋体" w:cs="宋体"/>
                          </w:rPr>
                        </w:pPr>
                        <w:r>
                          <w:rPr>
                            <w:rFonts w:hint="eastAsia" w:ascii="宋体" w:hAnsi="宋体" w:eastAsia="宋体" w:cs="宋体"/>
                            <w:sz w:val="21"/>
                            <w:szCs w:val="21"/>
                          </w:rPr>
                          <w:t>予以许可，向申请人出具加盖签章的《银行办理调运外币现钞进出境业务备案表》</w:t>
                        </w:r>
                      </w:p>
                    </w:txbxContent>
                  </v:textbox>
                </v:roundrect>
                <v:shape id="直接箭头连接符 18" o:spid="_x0000_s1026" o:spt="32" type="#_x0000_t32" style="position:absolute;left:2360;top:4941;height:0;width:499;rotation:5898240f;" filled="f" stroked="t" coordsize="21600,21600" o:gfxdata="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aoO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1" o:spid="_x0000_s1026" o:spt="34" type="#_x0000_t34" style="position:absolute;left:3540;top:5784;height:1;width:1172;" filled="f" stroked="t" coordsize="21600,21600" o:gfxdata="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FD74A&#10;AADbAAAADwAAAAAAAAABACAAAAAiAAAAZHJzL2Rvd25yZXYueG1sUEsBAhQAFAAAAAgAh07iQDMv&#10;BZ47AAAAOQAAABAAAAAAAAAAAQAgAAAADQEAAGRycy9zaGFwZXhtbC54bWxQSwUGAAAAAAYABgBb&#10;AQAAtwMAAAAA&#10;" adj="10800">
                  <v:fill on="f" focussize="0,0"/>
                  <v:stroke color="#000000" joinstyle="miter" endarrow="block"/>
                  <v:imagedata o:title=""/>
                  <o:lock v:ext="edit" aspectratio="f"/>
                </v:shape>
                <v:shape id="直接箭头连接符 7" o:spid="_x0000_s1026" o:spt="34" type="#_x0000_t34" style="position:absolute;left:3525;top:6735;height:1;width:1172;" filled="f" stroked="t" coordsize="21600,21600" o:gfxdata="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aCUugAAANsA&#10;AAAPAAAAAAAAAAEAIAAAACIAAABkcnMvZG93bnJldi54bWxQSwECFAAUAAAACACHTuJAMy8FnjsA&#10;AAA5AAAAEAAAAAAAAAABACAAAAAJAQAAZHJzL3NoYXBleG1sLnhtbFBLBQYAAAAABgAGAFsBAACz&#10;AwAAAAA=&#10;" adj="10800">
                  <v:fill on="f" focussize="0,0"/>
                  <v:stroke color="#000000" joinstyle="miter" endarrow="block"/>
                  <v:imagedata o:title=""/>
                  <o:lock v:ext="edit" aspectratio="f"/>
                </v:shape>
                <v:shape id="直接箭头连接符 19" o:spid="_x0000_s1026" o:spt="32" type="#_x0000_t32" style="position:absolute;left:2629;top:4981;flip:x;height:1;width:4643;"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5490;top:8574;height:437;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3" o:spid="_x0000_s1026" o:spt="32" type="#_x0000_t32" style="position:absolute;left:6771;top:9713;height:905;width:17;"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2" o:spid="_x0000_s1026" o:spt="32" type="#_x0000_t32" style="position:absolute;left:4289;top:9713;height:905;width:1;"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15" o:spid="_x0000_s1026" o:spt="32" type="#_x0000_t32" style="position:absolute;left:2612;top:6826;height:1391;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16" o:spid="_x0000_s1026" o:spt="32" type="#_x0000_t32" style="position:absolute;left:2612;top:8217;height:0;width:822;"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流程图: 决策 6" o:spid="_x0000_s1026" o:spt="110" type="#_x0000_t110" style="position:absolute;left:718;top:5192;height:2225;width:3796;" fillcolor="#FFFFFF" filled="t" stroked="t" coordsize="21600,21600" o:gfxdata="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3Ys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接件并当场（或5个工作日）作出是否受理决定</w:t>
                        </w:r>
                      </w:p>
                      <w:p/>
                    </w:txbxContent>
                  </v:textbox>
                </v:shape>
                <v:shape id="Straight Connector 86" o:spid="_x0000_s1026" o:spt="32" type="#_x0000_t32" style="position:absolute;left:8910;top:5266;flip:y;height:275;width:1;"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312"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5"/>
        <w:tblW w:w="83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tcPr>
          <w:p>
            <w:pPr>
              <w:spacing w:before="93"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trPr>
        <w:tc>
          <w:tcPr>
            <w:tcW w:w="8352" w:type="dxa"/>
            <w:gridSpan w:val="6"/>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XX分局签章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w:t>
            </w:r>
            <w:r>
              <w:rPr>
                <w:rFonts w:hint="eastAsia" w:ascii="Times New Roman" w:hAnsi="Times New Roman" w:eastAsia="仿宋_GB2312" w:cs="Times New Roman"/>
                <w:sz w:val="24"/>
                <w:szCs w:val="24"/>
                <w:lang w:eastAsia="zh-CN"/>
              </w:rPr>
              <w:t>国家外汇管理局省</w:t>
            </w:r>
            <w:r>
              <w:rPr>
                <w:rFonts w:ascii="Times New Roman" w:hAnsi="Times New Roman" w:eastAsia="仿宋_GB2312" w:cs="Times New Roman"/>
                <w:sz w:val="24"/>
                <w:szCs w:val="24"/>
              </w:rPr>
              <w:t>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312"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4" w:hRule="atLeast"/>
        </w:trPr>
        <w:tc>
          <w:tcPr>
            <w:tcW w:w="8522" w:type="dxa"/>
            <w:gridSpan w:val="2"/>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911"/>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07197"/>
    <w:rsid w:val="0082168E"/>
    <w:rsid w:val="00821968"/>
    <w:rsid w:val="0084639E"/>
    <w:rsid w:val="008471B6"/>
    <w:rsid w:val="00851521"/>
    <w:rsid w:val="0085686A"/>
    <w:rsid w:val="00860878"/>
    <w:rsid w:val="008731FF"/>
    <w:rsid w:val="0088294A"/>
    <w:rsid w:val="00884A76"/>
    <w:rsid w:val="0089282A"/>
    <w:rsid w:val="00892D2C"/>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77A4B"/>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5FA0F59"/>
    <w:rsid w:val="0D3746D2"/>
    <w:rsid w:val="11104562"/>
    <w:rsid w:val="11505CDD"/>
    <w:rsid w:val="14774247"/>
    <w:rsid w:val="20876CE7"/>
    <w:rsid w:val="226F0EB2"/>
    <w:rsid w:val="27457B5B"/>
    <w:rsid w:val="2C8A7331"/>
    <w:rsid w:val="2DEF7567"/>
    <w:rsid w:val="2F7E633F"/>
    <w:rsid w:val="311919AA"/>
    <w:rsid w:val="36317442"/>
    <w:rsid w:val="373A13CC"/>
    <w:rsid w:val="394834FB"/>
    <w:rsid w:val="404A3E69"/>
    <w:rsid w:val="408B605E"/>
    <w:rsid w:val="52162770"/>
    <w:rsid w:val="54D805D6"/>
    <w:rsid w:val="59904467"/>
    <w:rsid w:val="5ABF35BD"/>
    <w:rsid w:val="5DD07C52"/>
    <w:rsid w:val="5E6A31A6"/>
    <w:rsid w:val="5F8B4304"/>
    <w:rsid w:val="6B165013"/>
    <w:rsid w:val="6D2862AF"/>
    <w:rsid w:val="7090654C"/>
    <w:rsid w:val="73F946EC"/>
    <w:rsid w:val="75B75A3D"/>
    <w:rsid w:val="78DC0B71"/>
    <w:rsid w:val="7B432A90"/>
    <w:rsid w:val="7BAF0DAD"/>
    <w:rsid w:val="7DE9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39"/>
    <w:unhideWhenUsed/>
    <w:qFormat/>
    <w:uiPriority w:val="0"/>
    <w:rPr>
      <w:rFonts w:ascii="宋体"/>
      <w:sz w:val="18"/>
      <w:szCs w:val="18"/>
    </w:rPr>
  </w:style>
  <w:style w:type="paragraph" w:styleId="7">
    <w:name w:val="annotation text"/>
    <w:basedOn w:val="1"/>
    <w:link w:val="32"/>
    <w:unhideWhenUsed/>
    <w:qFormat/>
    <w:uiPriority w:val="99"/>
    <w:pPr>
      <w:jc w:val="left"/>
    </w:pPr>
    <w:rPr>
      <w:rFonts w:cs="Times New Roman"/>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7"/>
    <w:semiHidden/>
    <w:qFormat/>
    <w:uiPriority w:val="0"/>
    <w:rPr>
      <w:rFonts w:ascii="Calibri" w:hAnsi="Calibri" w:eastAsia="宋体" w:cs="Times New Roman"/>
    </w:rPr>
  </w:style>
  <w:style w:type="character" w:customStyle="1" w:styleId="33">
    <w:name w:val="标题 1 Char"/>
    <w:basedOn w:val="16"/>
    <w:link w:val="3"/>
    <w:qFormat/>
    <w:uiPriority w:val="9"/>
    <w:rPr>
      <w:rFonts w:ascii="黑体" w:hAnsi="黑体" w:eastAsia="黑体" w:cs="宋体"/>
      <w:color w:val="000000"/>
      <w:kern w:val="0"/>
      <w:sz w:val="30"/>
      <w:szCs w:val="30"/>
    </w:rPr>
  </w:style>
  <w:style w:type="character" w:customStyle="1" w:styleId="34">
    <w:name w:val="标题 2 Char"/>
    <w:basedOn w:val="16"/>
    <w:link w:val="4"/>
    <w:qFormat/>
    <w:uiPriority w:val="0"/>
    <w:rPr>
      <w:rFonts w:ascii="Cambria" w:hAnsi="Cambria" w:eastAsia="宋体" w:cs="Times New Roman"/>
      <w:b/>
      <w:bCs/>
      <w:sz w:val="32"/>
      <w:szCs w:val="32"/>
    </w:rPr>
  </w:style>
  <w:style w:type="character" w:customStyle="1" w:styleId="35">
    <w:name w:val="标题 3 Char"/>
    <w:basedOn w:val="16"/>
    <w:link w:val="5"/>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6"/>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442</Words>
  <Characters>2522</Characters>
  <Lines>21</Lines>
  <Paragraphs>5</Paragraphs>
  <TotalTime>0</TotalTime>
  <ScaleCrop>false</ScaleCrop>
  <LinksUpToDate>false</LinksUpToDate>
  <CharactersWithSpaces>2959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吴文斌</cp:lastModifiedBy>
  <cp:lastPrinted>2019-06-11T06:57:00Z</cp:lastPrinted>
  <dcterms:modified xsi:type="dcterms:W3CDTF">2023-08-31T06:31:18Z</dcterms:modified>
  <dc:title>编号：57016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