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drawing>
          <wp:anchor distT="0" distB="0" distL="114300" distR="114300" simplePos="0" relativeHeight="251660288" behindDoc="0" locked="0" layoutInCell="1" allowOverlap="1">
            <wp:simplePos x="0" y="0"/>
            <wp:positionH relativeFrom="column">
              <wp:posOffset>4100195</wp:posOffset>
            </wp:positionH>
            <wp:positionV relativeFrom="paragraph">
              <wp:posOffset>41275</wp:posOffset>
            </wp:positionV>
            <wp:extent cx="1104900" cy="885825"/>
            <wp:effectExtent l="0" t="0" r="0"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1104900" cy="885825"/>
                    </a:xfrm>
                    <a:prstGeom prst="rect">
                      <a:avLst/>
                    </a:prstGeom>
                    <a:noFill/>
                    <a:ln>
                      <a:noFill/>
                    </a:ln>
                  </pic:spPr>
                </pic:pic>
              </a:graphicData>
            </a:graphic>
          </wp:anchor>
        </w:drawing>
      </w:r>
    </w:p>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 xml:space="preserve">编号：000171114002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lang w:eastAsia="zh-CN"/>
        </w:rPr>
        <w:t>“</w:t>
      </w:r>
      <w:r>
        <w:rPr>
          <w:rFonts w:ascii="Times New Roman" w:hAnsi="Times New Roman" w:eastAsia="黑体" w:cs="Times New Roman"/>
          <w:sz w:val="52"/>
          <w:szCs w:val="52"/>
        </w:rPr>
        <w:t>银行资本金（营运资金）本外币转换核准</w:t>
      </w:r>
      <w:r>
        <w:rPr>
          <w:rFonts w:hint="eastAsia" w:ascii="Times New Roman" w:hAnsi="Times New Roman" w:eastAsia="黑体" w:cs="Times New Roman"/>
          <w:sz w:val="52"/>
          <w:szCs w:val="52"/>
          <w:lang w:eastAsia="zh-CN"/>
        </w:rPr>
        <w:t>”</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bookmarkStart w:id="6" w:name="_GoBack"/>
      <w:bookmarkEnd w:id="6"/>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bookmarkStart w:id="0" w:name="_Toc18195742"/>
      <w:r>
        <w:rPr>
          <w:rFonts w:ascii="Times New Roman" w:hAnsi="Times New Roman" w:eastAsia="仿宋_GB2312" w:cs="Times New Roman"/>
          <w:sz w:val="30"/>
          <w:szCs w:val="30"/>
        </w:rPr>
        <w:t>1.行政许可事项名称及编码</w:t>
      </w:r>
      <w:bookmarkEnd w:id="0"/>
    </w:p>
    <w:p>
      <w:pPr>
        <w:adjustRightInd w:val="0"/>
        <w:snapToGrid w:val="0"/>
        <w:spacing w:line="360" w:lineRule="auto"/>
        <w:ind w:firstLine="585"/>
        <w:jc w:val="left"/>
        <w:rPr>
          <w:rFonts w:ascii="Times New Roman" w:hAnsi="Times New Roman" w:eastAsia="仿宋_GB2312" w:cs="Times New Roman"/>
          <w:sz w:val="30"/>
          <w:szCs w:val="30"/>
        </w:rPr>
      </w:pPr>
      <w:bookmarkStart w:id="1" w:name="_Toc1456866541"/>
      <w:r>
        <w:rPr>
          <w:rFonts w:ascii="Times New Roman" w:hAnsi="Times New Roman" w:eastAsia="仿宋_GB2312" w:cs="Times New Roman"/>
          <w:sz w:val="30"/>
          <w:szCs w:val="30"/>
        </w:rPr>
        <w:t>金融机构本外币转换核准【00017111400Y】</w:t>
      </w:r>
      <w:bookmarkEnd w:id="1"/>
    </w:p>
    <w:p>
      <w:pPr>
        <w:adjustRightInd w:val="0"/>
        <w:snapToGrid w:val="0"/>
        <w:spacing w:line="360" w:lineRule="auto"/>
        <w:ind w:firstLine="585"/>
        <w:jc w:val="left"/>
        <w:rPr>
          <w:rFonts w:ascii="Times New Roman" w:hAnsi="Times New Roman" w:eastAsia="仿宋_GB2312" w:cs="Times New Roman"/>
          <w:sz w:val="30"/>
          <w:szCs w:val="30"/>
        </w:rPr>
      </w:pPr>
      <w:bookmarkStart w:id="2" w:name="_Toc787818367"/>
      <w:r>
        <w:rPr>
          <w:rFonts w:ascii="Times New Roman" w:hAnsi="Times New Roman" w:eastAsia="仿宋_GB2312" w:cs="Times New Roman"/>
          <w:sz w:val="30"/>
          <w:szCs w:val="30"/>
        </w:rPr>
        <w:t>2.行政许可事项子项名称及编码</w:t>
      </w:r>
      <w:bookmarkEnd w:id="2"/>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银行资本金（营运资金）本外币转换核准【000171114002】</w:t>
      </w:r>
    </w:p>
    <w:p>
      <w:pPr>
        <w:adjustRightInd w:val="0"/>
        <w:snapToGrid w:val="0"/>
        <w:spacing w:line="360" w:lineRule="auto"/>
        <w:ind w:firstLine="585"/>
        <w:jc w:val="left"/>
        <w:rPr>
          <w:rFonts w:ascii="Times New Roman" w:hAnsi="Times New Roman" w:eastAsia="仿宋_GB2312" w:cs="Times New Roman"/>
          <w:sz w:val="30"/>
          <w:szCs w:val="30"/>
        </w:rPr>
      </w:pPr>
      <w:bookmarkStart w:id="3" w:name="_Toc329574846"/>
      <w:r>
        <w:rPr>
          <w:rFonts w:ascii="Times New Roman" w:hAnsi="Times New Roman" w:eastAsia="仿宋_GB2312" w:cs="Times New Roman"/>
          <w:sz w:val="30"/>
          <w:szCs w:val="30"/>
        </w:rPr>
        <w:t>3.行政许可事项业务办理项名称及编码</w:t>
      </w:r>
      <w:bookmarkEnd w:id="3"/>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银行资本金（营运资金）本外币转换核准（00017111400201）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585"/>
        <w:rPr>
          <w:rFonts w:ascii="Times New Roman" w:hAnsi="Times New Roman" w:eastAsia="仿宋_GB2312" w:cs="Times New Roman"/>
          <w:sz w:val="30"/>
          <w:szCs w:val="30"/>
        </w:rPr>
      </w:pPr>
      <w:bookmarkStart w:id="4" w:name="_Toc1850584849"/>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《银行办理结售汇业务管理办法实施细则》（汇发〔2014〕53号文印发）</w:t>
      </w:r>
      <w:bookmarkEnd w:id="4"/>
      <w:r>
        <w:rPr>
          <w:rFonts w:ascii="Times New Roman" w:hAnsi="Times New Roman" w:eastAsia="仿宋_GB2312" w:cs="Times New Roman"/>
          <w:sz w:val="30"/>
          <w:szCs w:val="30"/>
        </w:rPr>
        <w:t>第二十五条</w:t>
      </w:r>
    </w:p>
    <w:p>
      <w:pPr>
        <w:adjustRightInd w:val="0"/>
        <w:snapToGrid w:val="0"/>
        <w:spacing w:line="360" w:lineRule="auto"/>
        <w:ind w:firstLine="585"/>
        <w:rPr>
          <w:rFonts w:ascii="Times New Roman" w:hAnsi="Times New Roman" w:eastAsia="仿宋_GB2312" w:cs="Times New Roman"/>
          <w:sz w:val="30"/>
          <w:szCs w:val="30"/>
        </w:rPr>
      </w:pPr>
      <w:bookmarkStart w:id="5" w:name="_Toc1435958548"/>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《国家外汇管理局行政许可实施办法》（国家外汇管理局公告2021年第1号）</w:t>
      </w:r>
      <w:bookmarkEnd w:id="5"/>
      <w:r>
        <w:rPr>
          <w:rFonts w:ascii="Times New Roman" w:hAnsi="Times New Roman" w:eastAsia="仿宋_GB2312" w:cs="Times New Roman"/>
          <w:sz w:val="30"/>
          <w:szCs w:val="30"/>
        </w:rPr>
        <w:t>全文</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进行转换的资本金（营运资金）属于因政策性注资背景产生的资本金（营运资金）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tbl>
      <w:tblPr>
        <w:tblStyle w:val="15"/>
        <w:tblW w:w="8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营业执照（统一社会信用代码证）</w:t>
            </w:r>
          </w:p>
        </w:tc>
        <w:tc>
          <w:tcPr>
            <w:tcW w:w="110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原件或加盖公章的复印件</w:t>
            </w:r>
          </w:p>
        </w:tc>
        <w:tc>
          <w:tcPr>
            <w:tcW w:w="457"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kern w:val="2"/>
                <w:sz w:val="24"/>
                <w:szCs w:val="24"/>
                <w:lang w:val="en-US" w:eastAsia="zh-CN" w:bidi="ar-SA"/>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lang w:eastAsia="zh-CN"/>
        </w:rPr>
        <w:t>批准文件</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批准文件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十九</w:t>
      </w:r>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安徽省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w:t>
      </w:r>
      <w:r>
        <w:rPr>
          <w:rFonts w:hint="eastAsia" w:ascii="Times New Roman" w:hAnsi="Times New Roman" w:eastAsia="仿宋_GB2312" w:cs="Times New Roman"/>
          <w:sz w:val="30"/>
          <w:szCs w:val="30"/>
          <w:lang w:eastAsia="zh-CN"/>
        </w:rPr>
        <w:t>“九、</w:t>
      </w:r>
      <w:r>
        <w:rPr>
          <w:rFonts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-593725</wp:posOffset>
                </wp:positionH>
                <wp:positionV relativeFrom="paragraph">
                  <wp:posOffset>368935</wp:posOffset>
                </wp:positionV>
                <wp:extent cx="5928360" cy="5353685"/>
                <wp:effectExtent l="8255" t="4445" r="6985" b="13970"/>
                <wp:wrapNone/>
                <wp:docPr id="21" name="Group 63"/>
                <wp:cNvGraphicFramePr/>
                <a:graphic xmlns:a="http://schemas.openxmlformats.org/drawingml/2006/main">
                  <a:graphicData uri="http://schemas.microsoft.com/office/word/2010/wordprocessingGroup">
                    <wpg:wgp>
                      <wpg:cNvGrpSpPr/>
                      <wpg:grpSpPr>
                        <a:xfrm>
                          <a:off x="0" y="0"/>
                          <a:ext cx="5928360" cy="5353685"/>
                          <a:chOff x="865" y="2645"/>
                          <a:chExt cx="9336" cy="8431"/>
                        </a:xfrm>
                      </wpg:grpSpPr>
                      <wps:wsp>
                        <wps:cNvPr id="2" name="Straight Connector 64"/>
                        <wps:cNvCnPr/>
                        <wps:spPr>
                          <a:xfrm>
                            <a:off x="2612" y="4069"/>
                            <a:ext cx="17" cy="1468"/>
                          </a:xfrm>
                          <a:prstGeom prst="straightConnector1">
                            <a:avLst/>
                          </a:prstGeom>
                          <a:ln w="9525" cap="flat" cmpd="sng">
                            <a:solidFill>
                              <a:srgbClr val="000000"/>
                            </a:solidFill>
                            <a:prstDash val="solid"/>
                            <a:headEnd type="none" w="med" len="med"/>
                            <a:tailEnd type="triangle" w="med" len="med"/>
                          </a:ln>
                        </wps:spPr>
                        <wps:bodyPr/>
                      </wps:wsp>
                      <wps:wsp>
                        <wps:cNvPr id="3" name="Straight Connector 65"/>
                        <wps:cNvCnPr/>
                        <wps:spPr>
                          <a:xfrm>
                            <a:off x="3540" y="5165"/>
                            <a:ext cx="1299" cy="1"/>
                          </a:xfrm>
                          <a:prstGeom prst="straightConnector1">
                            <a:avLst/>
                          </a:prstGeom>
                          <a:ln w="9525" cap="flat" cmpd="sng">
                            <a:solidFill>
                              <a:srgbClr val="000000"/>
                            </a:solidFill>
                            <a:prstDash val="solid"/>
                            <a:headEnd type="none" w="med" len="med"/>
                            <a:tailEnd type="triangle" w="med" len="med"/>
                          </a:ln>
                        </wps:spPr>
                        <wps:bodyPr/>
                      </wps:wsp>
                      <wps:wsp>
                        <wps:cNvPr id="4" name="Straight Connector 66"/>
                        <wps:cNvCnPr/>
                        <wps:spPr>
                          <a:xfrm>
                            <a:off x="3667" y="6198"/>
                            <a:ext cx="1172" cy="0"/>
                          </a:xfrm>
                          <a:prstGeom prst="straightConnector1">
                            <a:avLst/>
                          </a:prstGeom>
                          <a:ln w="9525" cap="flat" cmpd="sng">
                            <a:solidFill>
                              <a:srgbClr val="000000"/>
                            </a:solidFill>
                            <a:prstDash val="solid"/>
                            <a:headEnd type="none" w="med" len="med"/>
                            <a:tailEnd type="triangle" w="med" len="med"/>
                          </a:ln>
                        </wps:spPr>
                        <wps:bodyPr/>
                      </wps:wsp>
                      <wps:wsp>
                        <wps:cNvPr id="5" name="Straight Connector 67"/>
                        <wps:cNvCnPr/>
                        <wps:spPr>
                          <a:xfrm flipV="1">
                            <a:off x="8191" y="4018"/>
                            <a:ext cx="1" cy="895"/>
                          </a:xfrm>
                          <a:prstGeom prst="straightConnector1">
                            <a:avLst/>
                          </a:prstGeom>
                          <a:ln w="9525" cap="flat" cmpd="sng">
                            <a:solidFill>
                              <a:srgbClr val="000000"/>
                            </a:solidFill>
                            <a:prstDash val="solid"/>
                            <a:headEnd type="none" w="med" len="med"/>
                            <a:tailEnd type="triangle" w="med" len="med"/>
                          </a:ln>
                        </wps:spPr>
                        <wps:bodyPr/>
                      </wps:wsp>
                      <wps:wsp>
                        <wps:cNvPr id="6" name="Straight Connector 68"/>
                        <wps:cNvCnPr/>
                        <wps:spPr>
                          <a:xfrm flipH="1">
                            <a:off x="2629" y="4357"/>
                            <a:ext cx="4643" cy="1"/>
                          </a:xfrm>
                          <a:prstGeom prst="straightConnector1">
                            <a:avLst/>
                          </a:prstGeom>
                          <a:ln w="9525" cap="flat" cmpd="sng">
                            <a:solidFill>
                              <a:srgbClr val="000000"/>
                            </a:solidFill>
                            <a:prstDash val="solid"/>
                            <a:headEnd type="none" w="med" len="med"/>
                            <a:tailEnd type="triangle" w="med" len="med"/>
                          </a:ln>
                        </wps:spPr>
                        <wps:bodyPr/>
                      </wps:wsp>
                      <wps:wsp>
                        <wps:cNvPr id="7" name="Straight Connector 69"/>
                        <wps:cNvCnPr/>
                        <wps:spPr>
                          <a:xfrm>
                            <a:off x="5392" y="8028"/>
                            <a:ext cx="0" cy="437"/>
                          </a:xfrm>
                          <a:prstGeom prst="straightConnector1">
                            <a:avLst/>
                          </a:prstGeom>
                          <a:ln w="9525" cap="flat" cmpd="sng">
                            <a:solidFill>
                              <a:srgbClr val="000000"/>
                            </a:solidFill>
                            <a:prstDash val="solid"/>
                            <a:headEnd type="none" w="med" len="med"/>
                            <a:tailEnd type="triangle" w="med" len="med"/>
                          </a:ln>
                        </wps:spPr>
                        <wps:bodyPr/>
                      </wps:wsp>
                      <wps:wsp>
                        <wps:cNvPr id="8" name="Straight Connector 70"/>
                        <wps:cNvCnPr/>
                        <wps:spPr>
                          <a:xfrm>
                            <a:off x="6547" y="8999"/>
                            <a:ext cx="17" cy="905"/>
                          </a:xfrm>
                          <a:prstGeom prst="straightConnector1">
                            <a:avLst/>
                          </a:prstGeom>
                          <a:ln w="9525" cap="flat" cmpd="sng">
                            <a:solidFill>
                              <a:srgbClr val="000000"/>
                            </a:solidFill>
                            <a:prstDash val="solid"/>
                            <a:headEnd type="none" w="med" len="med"/>
                            <a:tailEnd type="triangle" w="med" len="med"/>
                          </a:ln>
                        </wps:spPr>
                        <wps:bodyPr/>
                      </wps:wsp>
                      <wps:wsp>
                        <wps:cNvPr id="9" name="Straight Connector 71"/>
                        <wps:cNvCnPr/>
                        <wps:spPr>
                          <a:xfrm>
                            <a:off x="4432" y="8999"/>
                            <a:ext cx="1" cy="905"/>
                          </a:xfrm>
                          <a:prstGeom prst="straightConnector1">
                            <a:avLst/>
                          </a:prstGeom>
                          <a:ln w="9525" cap="flat" cmpd="sng">
                            <a:solidFill>
                              <a:srgbClr val="000000"/>
                            </a:solidFill>
                            <a:prstDash val="solid"/>
                            <a:headEnd type="none" w="med" len="med"/>
                            <a:tailEnd type="triangle" w="med" len="med"/>
                          </a:ln>
                        </wps:spPr>
                        <wps:bodyPr/>
                      </wps:wsp>
                      <wps:wsp>
                        <wps:cNvPr id="10" name="Straight Connector 72"/>
                        <wps:cNvCnPr/>
                        <wps:spPr>
                          <a:xfrm>
                            <a:off x="2612" y="6202"/>
                            <a:ext cx="0" cy="1391"/>
                          </a:xfrm>
                          <a:prstGeom prst="straightConnector1">
                            <a:avLst/>
                          </a:prstGeom>
                          <a:ln w="9525" cap="flat" cmpd="sng">
                            <a:solidFill>
                              <a:srgbClr val="000000"/>
                            </a:solidFill>
                            <a:prstDash val="solid"/>
                            <a:headEnd type="none" w="med" len="med"/>
                            <a:tailEnd type="none" w="med" len="med"/>
                          </a:ln>
                        </wps:spPr>
                        <wps:bodyPr/>
                      </wps:wsp>
                      <wps:wsp>
                        <wps:cNvPr id="11" name="Straight Connector 73"/>
                        <wps:cNvCnPr/>
                        <wps:spPr>
                          <a:xfrm>
                            <a:off x="2612" y="7593"/>
                            <a:ext cx="822" cy="0"/>
                          </a:xfrm>
                          <a:prstGeom prst="straightConnector1">
                            <a:avLst/>
                          </a:prstGeom>
                          <a:ln w="9525" cap="flat" cmpd="sng">
                            <a:solidFill>
                              <a:srgbClr val="000000"/>
                            </a:solidFill>
                            <a:prstDash val="solid"/>
                            <a:headEnd type="none" w="med" len="med"/>
                            <a:tailEnd type="triangle" w="med" len="med"/>
                          </a:ln>
                        </wps:spPr>
                        <wps:bodyPr/>
                      </wps:wsp>
                      <wps:wsp>
                        <wps:cNvPr id="12" name="Flowchart: Decision 74"/>
                        <wps:cNvSpPr/>
                        <wps:spPr>
                          <a:xfrm>
                            <a:off x="865" y="4544"/>
                            <a:ext cx="3545" cy="2402"/>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3" name="Rectangle 75"/>
                        <wps:cNvSpPr/>
                        <wps:spPr>
                          <a:xfrm>
                            <a:off x="7272" y="3846"/>
                            <a:ext cx="2094" cy="7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申请人补全材料</w:t>
                              </w:r>
                            </w:p>
                            <w:p/>
                          </w:txbxContent>
                        </wps:txbx>
                        <wps:bodyPr upright="1"/>
                      </wps:wsp>
                      <wps:wsp>
                        <wps:cNvPr id="14" name="Rectangle 76"/>
                        <wps:cNvSpPr/>
                        <wps:spPr>
                          <a:xfrm>
                            <a:off x="4839" y="4913"/>
                            <a:ext cx="536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p/>
                          </w:txbxContent>
                        </wps:txbx>
                        <wps:bodyPr upright="1"/>
                      </wps:wsp>
                      <wps:wsp>
                        <wps:cNvPr id="15" name="Rectangle 77"/>
                        <wps:cNvSpPr/>
                        <wps:spPr>
                          <a:xfrm>
                            <a:off x="4839" y="5765"/>
                            <a:ext cx="5362"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p/>
                          </w:txbxContent>
                        </wps:txbx>
                        <wps:bodyPr upright="1"/>
                      </wps:wsp>
                      <wps:wsp>
                        <wps:cNvPr id="16" name="Rectangle 78"/>
                        <wps:cNvSpPr/>
                        <wps:spPr>
                          <a:xfrm>
                            <a:off x="3433" y="7425"/>
                            <a:ext cx="4104"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依法应予受理，出具受理单</w:t>
                              </w:r>
                            </w:p>
                            <w:p/>
                          </w:txbxContent>
                        </wps:txbx>
                        <wps:bodyPr upright="1"/>
                      </wps:wsp>
                      <wps:wsp>
                        <wps:cNvPr id="17" name="Rectangle 79"/>
                        <wps:cNvSpPr/>
                        <wps:spPr>
                          <a:xfrm>
                            <a:off x="3434" y="8465"/>
                            <a:ext cx="4252" cy="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审查报批</w:t>
                              </w:r>
                            </w:p>
                            <w:p/>
                          </w:txbxContent>
                        </wps:txbx>
                        <wps:bodyPr upright="1"/>
                      </wps:wsp>
                      <wps:wsp>
                        <wps:cNvPr id="18" name="Rectangle 80"/>
                        <wps:cNvSpPr/>
                        <wps:spPr>
                          <a:xfrm>
                            <a:off x="1771" y="2645"/>
                            <a:ext cx="2744" cy="14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19" name="Rectangle 81"/>
                        <wps:cNvSpPr/>
                        <wps:spPr>
                          <a:xfrm>
                            <a:off x="3433" y="9904"/>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rPr>
                                <w:t>予以许可，向申请人出具</w:t>
                              </w:r>
                              <w:r>
                                <w:rPr>
                                  <w:rFonts w:hint="eastAsia"/>
                                  <w:lang w:eastAsia="zh-CN"/>
                                </w:rPr>
                                <w:t>批准文件</w:t>
                              </w:r>
                            </w:p>
                            <w:p/>
                          </w:txbxContent>
                        </wps:txbx>
                        <wps:bodyPr upright="1"/>
                      </wps:wsp>
                      <wps:wsp>
                        <wps:cNvPr id="20" name="Rectangle 82"/>
                        <wps:cNvSpPr/>
                        <wps:spPr>
                          <a:xfrm>
                            <a:off x="5790" y="9904"/>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依法作出不予许可决定，并送达</w:t>
                              </w:r>
                            </w:p>
                            <w:p/>
                          </w:txbxContent>
                        </wps:txbx>
                        <wps:bodyPr upright="1"/>
                      </wps:wsp>
                    </wpg:wgp>
                  </a:graphicData>
                </a:graphic>
              </wp:anchor>
            </w:drawing>
          </mc:Choice>
          <mc:Fallback>
            <w:pict>
              <v:group id="Group 63" o:spid="_x0000_s1026" o:spt="203" style="position:absolute;left:0pt;margin-left:-46.75pt;margin-top:29.05pt;height:421.55pt;width:466.8pt;z-index:251659264;mso-width-relative:page;mso-height-relative:page;" coordorigin="865,2645" coordsize="9336,8431" o:gfxdata="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MoWr0ra&#10;AAAACgEAAA8AAAAAAAAAAQAgAAAAIgAAAGRycy9kb3ducmV2LnhtbFBLAQIUABQAAAAIAIdO4kCa&#10;QyS7PAUAAHgsAAAOAAAAAAAAAAEAIAAAACkBAABkcnMvZTJvRG9jLnhtbFBLBQYAAAAABgAGAFkB&#10;AADXCAAAAAA=&#10;">
                <o:lock v:ext="edit" aspectratio="f"/>
                <v:shape id="Straight Connector 64" o:spid="_x0000_s1026" o:spt="32" type="#_x0000_t32" style="position:absolute;left:2612;top:4069;height:1468;width:17;"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5" o:spid="_x0000_s1026" o:spt="32" type="#_x0000_t32" style="position:absolute;left:3540;top:5165;height:1;width:1299;" filled="f" stroked="t" coordsize="21600,2160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6" o:spid="_x0000_s1026" o:spt="32" type="#_x0000_t32" style="position:absolute;left:3667;top:6198;height:0;width:1172;"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7" o:spid="_x0000_s1026" o:spt="32" type="#_x0000_t32" style="position:absolute;left:8191;top:4018;flip:y;height:895;width:1;"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68" o:spid="_x0000_s1026" o:spt="32" type="#_x0000_t32" style="position:absolute;left:2629;top:4357;flip:x;height:1;width:4643;" filled="f" stroked="t" coordsize="21600,21600" o:gfxdata="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V4l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69" o:spid="_x0000_s1026" o:spt="32" type="#_x0000_t32" style="position:absolute;left:5392;top:8028;height:437;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70" o:spid="_x0000_s1026" o:spt="32" type="#_x0000_t32" style="position:absolute;left:6547;top:8999;height:905;width:17;"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Straight Connector 71" o:spid="_x0000_s1026" o:spt="32" type="#_x0000_t32" style="position:absolute;left:4432;top:8999;height:905;width:1;"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72" o:spid="_x0000_s1026" o:spt="32" type="#_x0000_t32" style="position:absolute;left:2612;top:6202;height:1391;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Connector 73" o:spid="_x0000_s1026" o:spt="32" type="#_x0000_t32" style="position:absolute;left:2612;top:7593;height:0;width:822;"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Flowchart: Decision 74" o:spid="_x0000_s1026" o:spt="110" type="#_x0000_t110" style="position:absolute;left:865;top:4544;height:2402;width:3545;" fillcolor="#FFFFFF" filled="t" stroked="t" coordsize="21600,21600" o:gfxdata="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XvW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接件并当场（或5个工作日）作出是否受理决定</w:t>
                        </w:r>
                      </w:p>
                      <w:p/>
                    </w:txbxContent>
                  </v:textbox>
                </v:shape>
                <v:rect id="Rectangle 75" o:spid="_x0000_s1026" o:spt="1" style="position:absolute;left:7272;top:3846;height:796;width:2094;"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申请人补全材料</w:t>
                        </w:r>
                      </w:p>
                      <w:p/>
                    </w:txbxContent>
                  </v:textbox>
                </v:rect>
                <v:rect id="Rectangle 76" o:spid="_x0000_s1026" o:spt="1" style="position:absolute;left:4839;top:4913;height:500;width:5362;"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77" o:spid="_x0000_s1026" o:spt="1" style="position:absolute;left:4839;top:5765;height:906;width:5362;"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78" o:spid="_x0000_s1026" o:spt="1" style="position:absolute;left:3433;top:7425;height:603;width:4104;"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依法应予受理，出具受理单</w:t>
                        </w:r>
                      </w:p>
                      <w:p/>
                    </w:txbxContent>
                  </v:textbox>
                </v:rect>
                <v:rect id="Rectangle 79" o:spid="_x0000_s1026" o:spt="1" style="position:absolute;left:3434;top:8465;height:534;width:4252;"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审查报批</w:t>
                        </w:r>
                      </w:p>
                      <w:p/>
                    </w:txbxContent>
                  </v:textbox>
                </v:rect>
                <v:rect id="Rectangle 80" o:spid="_x0000_s1026" o:spt="1" style="position:absolute;left:1771;top:2645;height:1424;width:2744;"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26" o:spt="1" style="position:absolute;left:3433;top:9904;height:1172;width:1747;"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eastAsia="宋体"/>
                            <w:lang w:eastAsia="zh-CN"/>
                          </w:rPr>
                        </w:pPr>
                        <w:r>
                          <w:rPr>
                            <w:rFonts w:hint="eastAsia"/>
                          </w:rPr>
                          <w:t>予以许可，向申请人出具</w:t>
                        </w:r>
                        <w:r>
                          <w:rPr>
                            <w:rFonts w:hint="eastAsia"/>
                            <w:lang w:eastAsia="zh-CN"/>
                          </w:rPr>
                          <w:t>批准文件</w:t>
                        </w:r>
                      </w:p>
                      <w:p/>
                    </w:txbxContent>
                  </v:textbox>
                </v:rect>
                <v:rect id="Rectangle 82" o:spid="_x0000_s1026" o:spt="1" style="position:absolute;left:5790;top:9904;height:1172;width:1747;"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依法作出不予许可决定，并送达</w:t>
                        </w:r>
                      </w:p>
                      <w:p/>
                    </w:txbxContent>
                  </v:textbox>
                </v:rect>
              </v:group>
            </w:pict>
          </mc:Fallback>
        </mc:AlternateContent>
      </w: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12E9F"/>
    <w:rsid w:val="00017E6C"/>
    <w:rsid w:val="00022191"/>
    <w:rsid w:val="00022EF6"/>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6A33"/>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6108D"/>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0F3F"/>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C5C4D"/>
    <w:rsid w:val="00FD06D3"/>
    <w:rsid w:val="00FE3157"/>
    <w:rsid w:val="00FE6865"/>
    <w:rsid w:val="00FE6993"/>
    <w:rsid w:val="0BDA0CFB"/>
    <w:rsid w:val="12F82108"/>
    <w:rsid w:val="16DA44B0"/>
    <w:rsid w:val="18F005BC"/>
    <w:rsid w:val="1AAC4A50"/>
    <w:rsid w:val="1E40106A"/>
    <w:rsid w:val="399B6573"/>
    <w:rsid w:val="3CDF7CD4"/>
    <w:rsid w:val="3DD97BD4"/>
    <w:rsid w:val="403A3D12"/>
    <w:rsid w:val="532E4693"/>
    <w:rsid w:val="5498362F"/>
    <w:rsid w:val="5BDF75E2"/>
    <w:rsid w:val="5D0B12E3"/>
    <w:rsid w:val="6262575C"/>
    <w:rsid w:val="62AF67D5"/>
    <w:rsid w:val="64C54D8A"/>
    <w:rsid w:val="736E58AF"/>
    <w:rsid w:val="73DC2BA0"/>
    <w:rsid w:val="76C921C2"/>
    <w:rsid w:val="7DCB26E8"/>
    <w:rsid w:val="7E095034"/>
    <w:rsid w:val="7F72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39"/>
    <w:unhideWhenUsed/>
    <w:qFormat/>
    <w:uiPriority w:val="0"/>
    <w:rPr>
      <w:rFonts w:ascii="宋体"/>
      <w:sz w:val="18"/>
      <w:szCs w:val="18"/>
    </w:rPr>
  </w:style>
  <w:style w:type="paragraph" w:styleId="7">
    <w:name w:val="annotation text"/>
    <w:basedOn w:val="1"/>
    <w:link w:val="32"/>
    <w:unhideWhenUsed/>
    <w:qFormat/>
    <w:uiPriority w:val="99"/>
    <w:pPr>
      <w:jc w:val="left"/>
    </w:pPr>
    <w:rPr>
      <w:rFonts w:cs="Times New Roman"/>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7"/>
    <w:semiHidden/>
    <w:qFormat/>
    <w:uiPriority w:val="0"/>
    <w:rPr>
      <w:rFonts w:ascii="Calibri" w:hAnsi="Calibri" w:eastAsia="宋体" w:cs="Times New Roman"/>
    </w:rPr>
  </w:style>
  <w:style w:type="character" w:customStyle="1" w:styleId="33">
    <w:name w:val="标题 1 Char"/>
    <w:basedOn w:val="16"/>
    <w:link w:val="3"/>
    <w:qFormat/>
    <w:uiPriority w:val="9"/>
    <w:rPr>
      <w:rFonts w:ascii="黑体" w:hAnsi="黑体" w:eastAsia="黑体" w:cs="宋体"/>
      <w:color w:val="000000"/>
      <w:kern w:val="0"/>
      <w:sz w:val="30"/>
      <w:szCs w:val="30"/>
    </w:rPr>
  </w:style>
  <w:style w:type="character" w:customStyle="1" w:styleId="34">
    <w:name w:val="标题 2 Char"/>
    <w:basedOn w:val="16"/>
    <w:link w:val="4"/>
    <w:qFormat/>
    <w:uiPriority w:val="0"/>
    <w:rPr>
      <w:rFonts w:ascii="Cambria" w:hAnsi="Cambria" w:eastAsia="宋体" w:cs="Times New Roman"/>
      <w:b/>
      <w:bCs/>
      <w:sz w:val="32"/>
      <w:szCs w:val="32"/>
    </w:rPr>
  </w:style>
  <w:style w:type="character" w:customStyle="1" w:styleId="35">
    <w:name w:val="标题 3 Char"/>
    <w:basedOn w:val="16"/>
    <w:link w:val="5"/>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6"/>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346</Words>
  <Characters>1975</Characters>
  <Lines>16</Lines>
  <Paragraphs>4</Paragraphs>
  <TotalTime>1</TotalTime>
  <ScaleCrop>false</ScaleCrop>
  <LinksUpToDate>false</LinksUpToDate>
  <CharactersWithSpaces>2317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吴文斌</cp:lastModifiedBy>
  <cp:lastPrinted>2017-11-24T00:22:00Z</cp:lastPrinted>
  <dcterms:modified xsi:type="dcterms:W3CDTF">2023-08-31T06:09:13Z</dcterms:modified>
  <dc:title>编号：57015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