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auto"/>
          <w:sz w:val="48"/>
          <w:szCs w:val="48"/>
        </w:rPr>
      </w:pPr>
      <w:bookmarkStart w:id="0" w:name="_Toc22602"/>
      <w:bookmarkStart w:id="1" w:name="_Toc6075"/>
    </w:p>
    <w:p>
      <w:pPr>
        <w:pStyle w:val="2"/>
        <w:ind w:firstLine="0" w:firstLineChars="0"/>
        <w:jc w:val="center"/>
        <w:rPr>
          <w:color w:val="auto"/>
          <w:sz w:val="48"/>
          <w:szCs w:val="48"/>
        </w:rPr>
      </w:pPr>
    </w:p>
    <w:p>
      <w:pPr>
        <w:pStyle w:val="2"/>
        <w:ind w:firstLine="0" w:firstLineChars="0"/>
        <w:jc w:val="center"/>
        <w:rPr>
          <w:color w:val="auto"/>
          <w:sz w:val="48"/>
          <w:szCs w:val="48"/>
        </w:rPr>
      </w:pPr>
    </w:p>
    <w:p>
      <w:pPr>
        <w:pStyle w:val="2"/>
        <w:ind w:firstLine="0" w:firstLineChars="0"/>
        <w:jc w:val="center"/>
        <w:rPr>
          <w:color w:val="auto"/>
          <w:sz w:val="48"/>
          <w:szCs w:val="48"/>
        </w:rPr>
      </w:pPr>
    </w:p>
    <w:p>
      <w:pPr>
        <w:pStyle w:val="2"/>
        <w:ind w:firstLine="0" w:firstLineChars="0"/>
        <w:jc w:val="center"/>
        <w:rPr>
          <w:rFonts w:ascii="方正小标宋简体" w:hAnsi="方正小标宋简体" w:eastAsia="方正小标宋简体" w:cs="方正小标宋简体"/>
          <w:color w:val="auto"/>
          <w:sz w:val="48"/>
          <w:szCs w:val="48"/>
        </w:rPr>
      </w:pPr>
    </w:p>
    <w:p>
      <w:pPr>
        <w:pStyle w:val="2"/>
        <w:ind w:firstLine="0" w:firstLineChars="0"/>
        <w:jc w:val="center"/>
        <w:rPr>
          <w:rFonts w:ascii="方正小标宋简体" w:hAnsi="方正小标宋简体" w:eastAsia="方正小标宋简体" w:cs="方正小标宋简体"/>
          <w:color w:val="auto"/>
          <w:sz w:val="36"/>
          <w:szCs w:val="44"/>
        </w:rPr>
      </w:pPr>
      <w:bookmarkStart w:id="2" w:name="_Toc22309"/>
      <w:r>
        <w:rPr>
          <w:rFonts w:hint="eastAsia" w:ascii="楷体" w:hAnsi="楷体" w:eastAsia="楷体" w:cs="楷体"/>
          <w:b/>
          <w:bCs/>
          <w:color w:val="auto"/>
          <w:sz w:val="56"/>
          <w:szCs w:val="56"/>
        </w:rPr>
        <w:t>国际收支项目</w:t>
      </w:r>
      <w:r>
        <w:rPr>
          <w:rFonts w:hint="eastAsia" w:ascii="楷体" w:hAnsi="楷体" w:eastAsia="楷体" w:cs="楷体"/>
          <w:b/>
          <w:bCs/>
          <w:color w:val="auto"/>
          <w:sz w:val="56"/>
          <w:szCs w:val="56"/>
        </w:rPr>
        <w:br/>
      </w:r>
      <w:r>
        <w:rPr>
          <w:rFonts w:hint="eastAsia" w:ascii="楷体" w:hAnsi="楷体" w:eastAsia="楷体" w:cs="楷体"/>
          <w:b/>
          <w:bCs/>
          <w:color w:val="auto"/>
          <w:sz w:val="56"/>
          <w:szCs w:val="56"/>
        </w:rPr>
        <w:br/>
      </w:r>
      <w:r>
        <w:rPr>
          <w:rFonts w:hint="eastAsia" w:ascii="方正小标宋简体" w:hAnsi="方正小标宋简体" w:eastAsia="方正小标宋简体" w:cs="方正小标宋简体"/>
          <w:color w:val="auto"/>
          <w:sz w:val="48"/>
          <w:szCs w:val="48"/>
        </w:rPr>
        <w:t>行</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政</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审</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批</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服</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务</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指</w:t>
      </w:r>
      <w:r>
        <w:rPr>
          <w:rFonts w:hint="eastAsia" w:ascii="方正小标宋简体" w:hAnsi="方正小标宋简体" w:eastAsia="方正小标宋简体" w:cs="方正小标宋简体"/>
          <w:color w:val="auto"/>
          <w:sz w:val="48"/>
          <w:szCs w:val="48"/>
        </w:rPr>
        <w:br/>
      </w:r>
      <w:r>
        <w:rPr>
          <w:rFonts w:hint="eastAsia" w:ascii="方正小标宋简体" w:hAnsi="方正小标宋简体" w:eastAsia="方正小标宋简体" w:cs="方正小标宋简体"/>
          <w:color w:val="auto"/>
          <w:sz w:val="48"/>
          <w:szCs w:val="48"/>
        </w:rPr>
        <w:t>南</w:t>
      </w:r>
      <w:bookmarkEnd w:id="0"/>
      <w:bookmarkEnd w:id="1"/>
      <w:bookmarkEnd w:id="2"/>
    </w:p>
    <w:p>
      <w:pPr>
        <w:rPr>
          <w:color w:val="auto"/>
        </w:rPr>
      </w:pPr>
    </w:p>
    <w:p>
      <w:pPr>
        <w:rPr>
          <w:rFonts w:ascii="黑体" w:hAnsi="黑体" w:eastAsia="黑体" w:cs="宋体"/>
          <w:color w:val="auto"/>
          <w:kern w:val="0"/>
          <w:sz w:val="36"/>
          <w:szCs w:val="44"/>
        </w:rPr>
      </w:pPr>
    </w:p>
    <w:p>
      <w:pPr>
        <w:rPr>
          <w:rFonts w:ascii="黑体" w:hAnsi="黑体" w:eastAsia="黑体" w:cs="宋体"/>
          <w:color w:val="auto"/>
          <w:kern w:val="0"/>
          <w:sz w:val="36"/>
          <w:szCs w:val="44"/>
        </w:rPr>
        <w:sectPr>
          <w:headerReference r:id="rId4" w:type="default"/>
          <w:footerReference r:id="rId5" w:type="default"/>
          <w:pgSz w:w="11849" w:h="16781"/>
          <w:pgMar w:top="1440" w:right="1800" w:bottom="1440" w:left="1800" w:header="720" w:footer="720" w:gutter="0"/>
          <w:pgNumType w:fmt="decimal" w:start="1"/>
          <w:cols w:space="720" w:num="1"/>
        </w:sectPr>
      </w:pPr>
    </w:p>
    <w:p>
      <w:pPr>
        <w:pStyle w:val="11"/>
        <w:tabs>
          <w:tab w:val="right" w:leader="dot" w:pos="8249"/>
        </w:tabs>
        <w:spacing w:line="360" w:lineRule="auto"/>
        <w:jc w:val="center"/>
        <w:rPr>
          <w:rFonts w:ascii="Times New Roman" w:hAnsi="Times New Roman" w:eastAsia="黑体" w:cs="Times New Roman"/>
          <w:color w:val="auto"/>
          <w:sz w:val="36"/>
          <w:szCs w:val="40"/>
        </w:rPr>
      </w:pPr>
      <w:r>
        <w:rPr>
          <w:rFonts w:hint="eastAsia" w:ascii="Times New Roman" w:hAnsi="Times New Roman" w:eastAsia="黑体" w:cs="Times New Roman"/>
          <w:color w:val="auto"/>
          <w:sz w:val="36"/>
          <w:szCs w:val="40"/>
        </w:rPr>
        <w:t>目录</w:t>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sz w:val="72"/>
          <w:szCs w:val="72"/>
        </w:rPr>
        <w:fldChar w:fldCharType="begin"/>
      </w:r>
      <w:r>
        <w:rPr>
          <w:rFonts w:hint="eastAsia" w:ascii="Times New Roman" w:hAnsi="Times New Roman" w:eastAsia="黑体" w:cs="Times New Roman"/>
          <w:color w:val="auto"/>
          <w:sz w:val="72"/>
          <w:szCs w:val="72"/>
        </w:rPr>
        <w:instrText xml:space="preserve">TOC \o "1-3" \h  \u </w:instrText>
      </w:r>
      <w:r>
        <w:rPr>
          <w:rFonts w:hint="eastAsia" w:ascii="Times New Roman" w:hAnsi="Times New Roman" w:eastAsia="黑体" w:cs="Times New Roman"/>
          <w:color w:val="auto"/>
          <w:sz w:val="72"/>
          <w:szCs w:val="72"/>
        </w:rPr>
        <w:fldChar w:fldCharType="separate"/>
      </w: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_Toc22309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楷体" w:hAnsi="楷体" w:eastAsia="楷体" w:cs="楷体"/>
          <w:bCs/>
          <w:kern w:val="2"/>
          <w:sz w:val="28"/>
          <w:szCs w:val="144"/>
          <w:lang w:val="en-US" w:eastAsia="zh-CN" w:bidi="ar-SA"/>
        </w:rPr>
        <w:t xml:space="preserve">国际收支项目  </w:t>
      </w:r>
      <w:r>
        <w:rPr>
          <w:rFonts w:hint="eastAsia" w:ascii="方正小标宋简体" w:hAnsi="方正小标宋简体" w:eastAsia="方正小标宋简体" w:cs="方正小标宋简体"/>
          <w:kern w:val="2"/>
          <w:sz w:val="28"/>
          <w:szCs w:val="72"/>
          <w:lang w:val="en-US" w:eastAsia="zh-CN" w:bidi="ar-SA"/>
        </w:rPr>
        <w:t>行 政 审 批 服 务 指 南</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_Toc22309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1</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_Toc25411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Calibri" w:hAnsi="Calibri" w:eastAsia="宋体" w:cs="黑体"/>
          <w:kern w:val="2"/>
          <w:sz w:val="28"/>
          <w:szCs w:val="56"/>
          <w:lang w:val="en-US" w:eastAsia="zh-CN" w:bidi="ar-SA"/>
        </w:rPr>
        <w:t>银行（含农村信用社）即期结售汇 业务市场准入</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_Toc25411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3</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_Toc5372 </w:instrText>
      </w:r>
      <w:r>
        <w:rPr>
          <w:rFonts w:hint="eastAsia" w:ascii="Times New Roman" w:hAnsi="Times New Roman" w:eastAsia="黑体" w:cs="Times New Roman"/>
          <w:color w:val="auto"/>
          <w:kern w:val="2"/>
          <w:sz w:val="28"/>
          <w:szCs w:val="72"/>
          <w:lang w:val="en-US" w:eastAsia="zh-CN" w:bidi="ar-SA"/>
        </w:rPr>
        <w:fldChar w:fldCharType="separate"/>
      </w:r>
      <w:r>
        <w:rPr>
          <w:rFonts w:ascii="Calibri" w:hAnsi="Calibri" w:eastAsia="宋体" w:cs="黑体"/>
          <w:kern w:val="2"/>
          <w:sz w:val="28"/>
          <w:szCs w:val="56"/>
          <w:lang w:val="en-US" w:eastAsia="zh-CN" w:bidi="ar-SA"/>
        </w:rPr>
        <w:t>银行（含农村信用社）人民币与外汇 衍生产品业务市场准入</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_Toc5372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7</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_Toc16516 </w:instrText>
      </w:r>
      <w:r>
        <w:rPr>
          <w:rFonts w:hint="eastAsia" w:ascii="Times New Roman" w:hAnsi="Times New Roman" w:eastAsia="黑体" w:cs="Times New Roman"/>
          <w:color w:val="auto"/>
          <w:kern w:val="2"/>
          <w:sz w:val="28"/>
          <w:szCs w:val="72"/>
          <w:lang w:val="en-US" w:eastAsia="zh-CN" w:bidi="ar-SA"/>
        </w:rPr>
        <w:fldChar w:fldCharType="separate"/>
      </w:r>
      <w:r>
        <w:rPr>
          <w:rFonts w:ascii="Calibri" w:hAnsi="Calibri" w:eastAsia="宋体" w:cs="黑体"/>
          <w:kern w:val="2"/>
          <w:sz w:val="28"/>
          <w:szCs w:val="32"/>
          <w:lang w:val="en-US" w:eastAsia="zh-CN" w:bidi="ar-SA"/>
        </w:rPr>
        <w:t>银行合作办理远期结售汇业务市场 准入审批</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_Toc16516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10</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_Toc29442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Calibri" w:hAnsi="Calibri" w:eastAsia="宋体" w:cs="黑体"/>
          <w:kern w:val="2"/>
          <w:sz w:val="28"/>
          <w:szCs w:val="48"/>
          <w:lang w:val="en-US" w:eastAsia="zh-CN" w:bidi="ar-SA"/>
        </w:rPr>
        <w:t>外国银行分行头寸集中管理审批</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_Toc29442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13</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_Toc5819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Calibri" w:hAnsi="Calibri" w:eastAsia="宋体" w:cs="黑体"/>
          <w:kern w:val="2"/>
          <w:sz w:val="28"/>
          <w:szCs w:val="32"/>
          <w:lang w:val="en-US" w:eastAsia="zh-CN" w:bidi="ar-SA"/>
        </w:rPr>
        <w:t>个人本外币兑换特许业务市场准入审批</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_Toc5819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15</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_Toc10915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Calibri" w:hAnsi="Calibri" w:eastAsia="宋体" w:cs="黑体"/>
          <w:kern w:val="2"/>
          <w:sz w:val="28"/>
          <w:szCs w:val="32"/>
          <w:lang w:val="en-US" w:eastAsia="zh-CN" w:bidi="ar-SA"/>
        </w:rPr>
        <w:t>银行资本金（或营运资金）本外币转换核准</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_Toc10915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19</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pStyle w:val="11"/>
        <w:tabs>
          <w:tab w:val="right" w:leader="dot" w:pos="8249"/>
        </w:tabs>
        <w:rPr>
          <w:rFonts w:ascii="Calibri" w:hAnsi="Calibri" w:eastAsia="宋体" w:cs="黑体"/>
          <w:kern w:val="2"/>
          <w:sz w:val="28"/>
          <w:szCs w:val="32"/>
          <w:lang w:val="en-US" w:eastAsia="zh-CN" w:bidi="ar-SA"/>
        </w:rPr>
      </w:pPr>
      <w:r>
        <w:rPr>
          <w:rFonts w:hint="eastAsia" w:ascii="Times New Roman" w:hAnsi="Times New Roman" w:eastAsia="黑体" w:cs="Times New Roman"/>
          <w:color w:val="auto"/>
          <w:kern w:val="2"/>
          <w:sz w:val="28"/>
          <w:szCs w:val="72"/>
          <w:lang w:val="en-US" w:eastAsia="zh-CN" w:bidi="ar-SA"/>
        </w:rPr>
        <w:fldChar w:fldCharType="begin"/>
      </w:r>
      <w:r>
        <w:rPr>
          <w:rFonts w:hint="eastAsia" w:ascii="Times New Roman" w:hAnsi="Times New Roman" w:eastAsia="黑体" w:cs="Times New Roman"/>
          <w:color w:val="auto"/>
          <w:kern w:val="2"/>
          <w:sz w:val="28"/>
          <w:szCs w:val="72"/>
          <w:lang w:val="en-US" w:eastAsia="zh-CN" w:bidi="ar-SA"/>
        </w:rPr>
        <w:instrText xml:space="preserve"> HYPERLINK \l _Toc8098 </w:instrText>
      </w:r>
      <w:r>
        <w:rPr>
          <w:rFonts w:hint="eastAsia" w:ascii="Times New Roman" w:hAnsi="Times New Roman" w:eastAsia="黑体" w:cs="Times New Roman"/>
          <w:color w:val="auto"/>
          <w:kern w:val="2"/>
          <w:sz w:val="28"/>
          <w:szCs w:val="72"/>
          <w:lang w:val="en-US" w:eastAsia="zh-CN" w:bidi="ar-SA"/>
        </w:rPr>
        <w:fldChar w:fldCharType="separate"/>
      </w:r>
      <w:r>
        <w:rPr>
          <w:rFonts w:hint="eastAsia" w:ascii="Calibri" w:hAnsi="Calibri" w:eastAsia="宋体" w:cs="黑体"/>
          <w:kern w:val="2"/>
          <w:sz w:val="28"/>
          <w:szCs w:val="32"/>
          <w:lang w:val="en-US" w:eastAsia="zh-CN" w:bidi="ar-SA"/>
        </w:rPr>
        <w:t>银行调运外币现钞进出境业务市场 准入审批</w:t>
      </w:r>
      <w:r>
        <w:rPr>
          <w:rFonts w:ascii="Calibri" w:hAnsi="Calibri" w:eastAsia="宋体" w:cs="黑体"/>
          <w:kern w:val="2"/>
          <w:sz w:val="28"/>
          <w:szCs w:val="32"/>
          <w:lang w:val="en-US" w:eastAsia="zh-CN" w:bidi="ar-SA"/>
        </w:rPr>
        <w:tab/>
      </w:r>
      <w:r>
        <w:rPr>
          <w:rFonts w:ascii="Calibri" w:hAnsi="Calibri" w:eastAsia="宋体" w:cs="黑体"/>
          <w:kern w:val="2"/>
          <w:sz w:val="28"/>
          <w:szCs w:val="32"/>
          <w:lang w:val="en-US" w:eastAsia="zh-CN" w:bidi="ar-SA"/>
        </w:rPr>
        <w:fldChar w:fldCharType="begin"/>
      </w:r>
      <w:r>
        <w:rPr>
          <w:rFonts w:ascii="Calibri" w:hAnsi="Calibri" w:eastAsia="宋体" w:cs="黑体"/>
          <w:kern w:val="2"/>
          <w:sz w:val="28"/>
          <w:szCs w:val="32"/>
          <w:lang w:val="en-US" w:eastAsia="zh-CN" w:bidi="ar-SA"/>
        </w:rPr>
        <w:instrText xml:space="preserve"> PAGEREF _Toc8098 </w:instrText>
      </w:r>
      <w:r>
        <w:rPr>
          <w:rFonts w:ascii="Calibri" w:hAnsi="Calibri" w:eastAsia="宋体" w:cs="黑体"/>
          <w:kern w:val="2"/>
          <w:sz w:val="28"/>
          <w:szCs w:val="32"/>
          <w:lang w:val="en-US" w:eastAsia="zh-CN" w:bidi="ar-SA"/>
        </w:rPr>
        <w:fldChar w:fldCharType="separate"/>
      </w:r>
      <w:r>
        <w:rPr>
          <w:rFonts w:ascii="Calibri" w:hAnsi="Calibri" w:eastAsia="宋体" w:cs="黑体"/>
          <w:kern w:val="2"/>
          <w:sz w:val="28"/>
          <w:szCs w:val="32"/>
          <w:lang w:val="en-US" w:eastAsia="zh-CN" w:bidi="ar-SA"/>
        </w:rPr>
        <w:t>22</w:t>
      </w:r>
      <w:r>
        <w:rPr>
          <w:rFonts w:ascii="Calibri" w:hAnsi="Calibri" w:eastAsia="宋体" w:cs="黑体"/>
          <w:kern w:val="2"/>
          <w:sz w:val="28"/>
          <w:szCs w:val="32"/>
          <w:lang w:val="en-US" w:eastAsia="zh-CN" w:bidi="ar-SA"/>
        </w:rPr>
        <w:fldChar w:fldCharType="end"/>
      </w:r>
      <w:r>
        <w:rPr>
          <w:rFonts w:hint="eastAsia" w:ascii="Times New Roman" w:hAnsi="Times New Roman" w:eastAsia="黑体" w:cs="Times New Roman"/>
          <w:color w:val="auto"/>
          <w:kern w:val="2"/>
          <w:sz w:val="28"/>
          <w:szCs w:val="72"/>
          <w:lang w:val="en-US" w:eastAsia="zh-CN" w:bidi="ar-SA"/>
        </w:rPr>
        <w:fldChar w:fldCharType="end"/>
      </w:r>
    </w:p>
    <w:p>
      <w:pPr>
        <w:rPr>
          <w:rFonts w:ascii="黑体" w:hAnsi="黑体" w:eastAsia="黑体" w:cs="宋体"/>
          <w:color w:val="auto"/>
          <w:kern w:val="0"/>
          <w:sz w:val="48"/>
          <w:szCs w:val="56"/>
        </w:rPr>
        <w:sectPr>
          <w:pgSz w:w="11849" w:h="16781"/>
          <w:pgMar w:top="1440" w:right="1800" w:bottom="1440" w:left="1800" w:header="720" w:footer="720" w:gutter="0"/>
          <w:pgNumType w:fmt="decimal" w:start="1"/>
          <w:cols w:space="720" w:num="1"/>
        </w:sectPr>
      </w:pPr>
      <w:r>
        <w:rPr>
          <w:rFonts w:hint="eastAsia" w:ascii="Times New Roman" w:hAnsi="Times New Roman" w:eastAsia="黑体" w:cs="Times New Roman"/>
          <w:color w:val="auto"/>
          <w:kern w:val="2"/>
          <w:sz w:val="28"/>
          <w:szCs w:val="72"/>
          <w:lang w:val="en-US" w:eastAsia="zh-CN" w:bidi="ar-SA"/>
        </w:rPr>
        <w:fldChar w:fldCharType="end"/>
      </w:r>
    </w:p>
    <w:p>
      <w:pPr>
        <w:pStyle w:val="2"/>
        <w:ind w:firstLine="0" w:firstLineChars="0"/>
        <w:jc w:val="center"/>
        <w:rPr>
          <w:color w:val="auto"/>
          <w:sz w:val="36"/>
          <w:szCs w:val="44"/>
        </w:rPr>
      </w:pPr>
      <w:bookmarkStart w:id="3" w:name="_Toc13440"/>
      <w:bookmarkStart w:id="4" w:name="_Toc11553"/>
      <w:bookmarkStart w:id="5" w:name="_Toc25411"/>
      <w:r>
        <w:rPr>
          <w:rFonts w:hint="eastAsia"/>
          <w:color w:val="auto"/>
          <w:sz w:val="36"/>
          <w:szCs w:val="44"/>
        </w:rPr>
        <w:t>银行（含农村信用社）即期结售汇</w:t>
      </w:r>
      <w:bookmarkEnd w:id="3"/>
      <w:bookmarkEnd w:id="4"/>
      <w:bookmarkStart w:id="6" w:name="_Toc32689"/>
      <w:bookmarkStart w:id="7" w:name="_Toc1907"/>
      <w:r>
        <w:rPr>
          <w:rFonts w:hint="eastAsia"/>
          <w:color w:val="auto"/>
          <w:sz w:val="36"/>
          <w:szCs w:val="44"/>
        </w:rPr>
        <w:br/>
      </w:r>
      <w:r>
        <w:rPr>
          <w:rFonts w:hint="eastAsia"/>
          <w:color w:val="auto"/>
          <w:sz w:val="36"/>
          <w:szCs w:val="44"/>
        </w:rPr>
        <w:t>业务市场准入</w:t>
      </w:r>
      <w:bookmarkEnd w:id="5"/>
      <w:bookmarkEnd w:id="6"/>
      <w:bookmarkEnd w:id="7"/>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一、</w:t>
      </w:r>
      <w:r>
        <w:rPr>
          <w:rFonts w:ascii="Times New Roman" w:hAnsi="Times New Roman" w:eastAsia="黑体"/>
          <w:color w:val="auto"/>
          <w:sz w:val="24"/>
          <w:szCs w:val="24"/>
        </w:rPr>
        <w:t>项目</w:t>
      </w:r>
      <w:r>
        <w:rPr>
          <w:rFonts w:hint="eastAsia" w:ascii="Times New Roman" w:hAnsi="Times New Roman" w:eastAsia="黑体"/>
          <w:color w:val="auto"/>
          <w:sz w:val="24"/>
          <w:szCs w:val="24"/>
        </w:rPr>
        <w:t>信息</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项目名称：</w:t>
      </w:r>
      <w:r>
        <w:rPr>
          <w:rFonts w:ascii="Times New Roman" w:hAnsi="Times New Roman" w:eastAsia="仿宋_GB2312"/>
          <w:color w:val="auto"/>
          <w:sz w:val="24"/>
          <w:szCs w:val="24"/>
        </w:rPr>
        <w:t>银行、农村信用社、兑换机构及非金融机构等结汇、售汇业务市场准入、退出审批；</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子项名称：</w:t>
      </w:r>
      <w:r>
        <w:rPr>
          <w:rFonts w:ascii="Times New Roman" w:hAnsi="Times New Roman" w:eastAsia="仿宋_GB2312"/>
          <w:color w:val="auto"/>
          <w:sz w:val="24"/>
          <w:szCs w:val="24"/>
        </w:rPr>
        <w:t>银行（含农村信用社）即期结售汇业务市场准入</w:t>
      </w:r>
      <w:r>
        <w:rPr>
          <w:rFonts w:hint="eastAsia" w:ascii="Times New Roman" w:hAnsi="Times New Roman" w:eastAsia="仿宋_GB2312"/>
          <w:color w:val="auto"/>
          <w:sz w:val="24"/>
          <w:szCs w:val="24"/>
        </w:rPr>
        <w:t>；</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审批类别：行政许可。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二</w:t>
      </w:r>
      <w:r>
        <w:rPr>
          <w:rFonts w:ascii="Times New Roman" w:hAnsi="Times New Roman" w:eastAsia="黑体"/>
          <w:color w:val="auto"/>
          <w:sz w:val="24"/>
          <w:szCs w:val="24"/>
        </w:rPr>
        <w:t xml:space="preserve">、适用范围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本指南适用于“银行、农村信用社、兑换机构及非金融机构等结汇、售汇业务市场准入、退出审批”的申请和办理。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三</w:t>
      </w:r>
      <w:r>
        <w:rPr>
          <w:rFonts w:ascii="Times New Roman" w:hAnsi="Times New Roman" w:eastAsia="黑体"/>
          <w:color w:val="auto"/>
          <w:sz w:val="24"/>
          <w:szCs w:val="24"/>
        </w:rPr>
        <w:t xml:space="preserve">、设定依据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（二）《中华人民共和国外汇管理条例》（国务院令第532号）第五十三条：“非金融机构经营结汇、售汇业务，应当由国务院外汇管理部门批准，具体管理办法由国务院外汇管理部门另行制定”。 </w:t>
      </w:r>
    </w:p>
    <w:p>
      <w:pPr>
        <w:ind w:firstLine="480" w:firstLineChars="200"/>
        <w:rPr>
          <w:rFonts w:ascii="Times New Roman" w:hAnsi="Times New Roman" w:eastAsia="仿宋_GB2312"/>
          <w:color w:val="auto"/>
          <w:sz w:val="24"/>
          <w:szCs w:val="24"/>
        </w:rPr>
      </w:pPr>
      <w:r>
        <w:rPr>
          <w:rFonts w:hint="eastAsia" w:ascii="Times New Roman" w:hAnsi="Times New Roman" w:eastAsia="黑体"/>
          <w:color w:val="auto"/>
          <w:sz w:val="24"/>
          <w:szCs w:val="24"/>
        </w:rPr>
        <w:t>四、</w:t>
      </w:r>
      <w:r>
        <w:rPr>
          <w:rFonts w:ascii="Times New Roman" w:hAnsi="Times New Roman" w:eastAsia="黑体"/>
          <w:color w:val="auto"/>
          <w:sz w:val="24"/>
          <w:szCs w:val="24"/>
        </w:rPr>
        <w:t>办理依据</w:t>
      </w:r>
      <w:r>
        <w:rPr>
          <w:rFonts w:ascii="Times New Roman" w:hAnsi="Times New Roman" w:eastAsia="仿宋_GB2312"/>
          <w:color w:val="auto"/>
          <w:sz w:val="24"/>
          <w:szCs w:val="24"/>
        </w:rPr>
        <w:t xml:space="preserve">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《中华人民共和国外汇管理条例》（国务院令第532号）；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《银行办理结售汇业务管理办法》（中国人民银行令〔2014〕第2号）；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（三）</w:t>
      </w:r>
      <w:r>
        <w:rPr>
          <w:rFonts w:ascii="Times New Roman" w:hAnsi="Times New Roman" w:eastAsia="仿宋_GB2312"/>
          <w:color w:val="auto"/>
          <w:sz w:val="24"/>
          <w:szCs w:val="24"/>
        </w:rPr>
        <w:t xml:space="preserve">《国家外汇管理局关于印发〈银行办理结售汇业务管理办法实施细则〉的通知》（汇发〔2014〕53号）。  </w:t>
      </w:r>
    </w:p>
    <w:p>
      <w:pPr>
        <w:ind w:firstLine="480" w:firstLineChars="200"/>
        <w:rPr>
          <w:rFonts w:ascii="Times New Roman" w:hAnsi="Times New Roman" w:eastAsia="仿宋_GB2312"/>
          <w:color w:val="auto"/>
          <w:sz w:val="24"/>
          <w:szCs w:val="24"/>
        </w:rPr>
      </w:pPr>
      <w:r>
        <w:rPr>
          <w:rFonts w:hint="eastAsia" w:ascii="Times New Roman" w:hAnsi="Times New Roman" w:eastAsia="黑体"/>
          <w:color w:val="auto"/>
          <w:sz w:val="24"/>
          <w:szCs w:val="24"/>
        </w:rPr>
        <w:t>五、</w:t>
      </w:r>
      <w:r>
        <w:rPr>
          <w:rFonts w:ascii="Times New Roman" w:hAnsi="Times New Roman" w:eastAsia="黑体"/>
          <w:color w:val="auto"/>
          <w:sz w:val="24"/>
          <w:szCs w:val="24"/>
        </w:rPr>
        <w:t>受理机构</w:t>
      </w:r>
      <w:r>
        <w:rPr>
          <w:rFonts w:ascii="Times New Roman" w:hAnsi="Times New Roman" w:eastAsia="仿宋_GB2312"/>
          <w:color w:val="auto"/>
          <w:sz w:val="24"/>
          <w:szCs w:val="24"/>
        </w:rPr>
        <w:t xml:space="preserve">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银行总行。政策性银行、全国性商业银行，向国家外汇管理局申请；其他银行向所在地国家外汇管理局分局申请，如处于市、县，应向所在地国家外汇管理局中心支局或支局申请，并逐级上报至国家外汇管理局分局。外国银行分行视同总行管理。</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银行分支机构。向所在地国家外汇管理局分支局备案。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六、</w:t>
      </w:r>
      <w:r>
        <w:rPr>
          <w:rFonts w:ascii="Times New Roman" w:hAnsi="Times New Roman" w:eastAsia="黑体"/>
          <w:color w:val="auto"/>
          <w:sz w:val="24"/>
          <w:szCs w:val="24"/>
        </w:rPr>
        <w:t xml:space="preserve">决定机构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银行总行。政策性银行、全国性商业银行，决定机构为国家外汇管理局；其他银行决定机构为所在地国家外汇管理局分局。外国银行分行视同总行管理。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银行分支机构。决定机构为所在地国家外汇管理局分支局。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七、</w:t>
      </w:r>
      <w:r>
        <w:rPr>
          <w:rFonts w:ascii="Times New Roman" w:hAnsi="Times New Roman" w:eastAsia="黑体"/>
          <w:color w:val="auto"/>
          <w:sz w:val="24"/>
          <w:szCs w:val="24"/>
        </w:rPr>
        <w:t xml:space="preserve">审批数量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无数量限制</w:t>
      </w:r>
      <w:r>
        <w:rPr>
          <w:rFonts w:hint="eastAsia" w:ascii="Times New Roman" w:hAnsi="Times New Roman" w:eastAsia="仿宋_GB2312"/>
          <w:color w:val="auto"/>
          <w:sz w:val="24"/>
          <w:szCs w:val="24"/>
        </w:rPr>
        <w:t>。</w:t>
      </w:r>
    </w:p>
    <w:p>
      <w:pPr>
        <w:ind w:firstLine="480" w:firstLineChars="200"/>
        <w:rPr>
          <w:rFonts w:ascii="Times New Roman" w:hAnsi="Times New Roman" w:eastAsia="仿宋_GB2312"/>
          <w:color w:val="auto"/>
          <w:sz w:val="24"/>
          <w:szCs w:val="24"/>
        </w:rPr>
      </w:pPr>
      <w:r>
        <w:rPr>
          <w:rFonts w:hint="eastAsia" w:ascii="Times New Roman" w:hAnsi="Times New Roman" w:eastAsia="黑体"/>
          <w:color w:val="auto"/>
          <w:sz w:val="24"/>
          <w:szCs w:val="24"/>
        </w:rPr>
        <w:t>八、</w:t>
      </w:r>
      <w:r>
        <w:rPr>
          <w:rFonts w:ascii="Times New Roman" w:hAnsi="Times New Roman" w:eastAsia="黑体"/>
          <w:color w:val="auto"/>
          <w:sz w:val="24"/>
          <w:szCs w:val="24"/>
        </w:rPr>
        <w:t>办事条件</w:t>
      </w:r>
      <w:r>
        <w:rPr>
          <w:rFonts w:ascii="Times New Roman" w:hAnsi="Times New Roman" w:eastAsia="仿宋_GB2312"/>
          <w:color w:val="auto"/>
          <w:sz w:val="24"/>
          <w:szCs w:val="24"/>
        </w:rPr>
        <w:t xml:space="preserve">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申请人需同时符合以下条件：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具有金融业务资格。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具备完善的业务管理制度。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（三）</w:t>
      </w:r>
      <w:r>
        <w:rPr>
          <w:rFonts w:ascii="Times New Roman" w:hAnsi="Times New Roman" w:eastAsia="仿宋_GB2312"/>
          <w:color w:val="auto"/>
          <w:sz w:val="24"/>
          <w:szCs w:val="24"/>
        </w:rPr>
        <w:t xml:space="preserve">具备办理业务所必需的软硬件设备。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（四）</w:t>
      </w:r>
      <w:r>
        <w:rPr>
          <w:rFonts w:ascii="Times New Roman" w:hAnsi="Times New Roman" w:eastAsia="仿宋_GB2312"/>
          <w:color w:val="auto"/>
          <w:sz w:val="24"/>
          <w:szCs w:val="24"/>
        </w:rPr>
        <w:t xml:space="preserve">拥有具备相应业务工作经验的高级管理人员和业务人员。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银行需银行业监督管理部门批准外汇业务经营资格的，还应具备相应的外汇业务经营资格。</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九、</w:t>
      </w:r>
      <w:r>
        <w:rPr>
          <w:rFonts w:ascii="Times New Roman" w:hAnsi="Times New Roman" w:eastAsia="黑体"/>
          <w:color w:val="auto"/>
          <w:sz w:val="24"/>
          <w:szCs w:val="24"/>
        </w:rPr>
        <w:t>申请材料</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银行总行申请材料清单</w:t>
      </w:r>
    </w:p>
    <w:tbl>
      <w:tblPr>
        <w:tblpPr w:leftFromText="180" w:rightFromText="180" w:vertAnchor="text" w:horzAnchor="page" w:tblpXSpec="center" w:tblpY="59"/>
        <w:tblOverlap w:val="never"/>
        <w:tblW w:w="86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65"/>
        <w:gridCol w:w="1915"/>
        <w:gridCol w:w="951"/>
        <w:gridCol w:w="476"/>
        <w:gridCol w:w="873"/>
        <w:gridCol w:w="3576"/>
        <w:gridCol w:w="456"/>
      </w:tblGrid>
      <w:tr>
        <w:trPr>
          <w:trHeight w:val="57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提交材料名称</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原件/复印件</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份数</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纸质/电子</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要求</w:t>
            </w: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备注</w:t>
            </w:r>
          </w:p>
        </w:tc>
      </w:tr>
      <w:tr>
        <w:trPr>
          <w:trHeight w:val="57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办理结售汇业务的申请报告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r>
      <w:tr>
        <w:trPr>
          <w:trHeight w:val="857"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《金融许可证》复印件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加盖企业公章的复印件 </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r>
      <w:tr>
        <w:trPr>
          <w:trHeight w:val="1706"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办理结售汇业务的内部管理规章制度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原件 </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 </w:t>
            </w: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p>
            <w:pPr>
              <w:rPr>
                <w:rFonts w:ascii="仿宋_GB2312" w:hAnsi="仿宋_GB2312" w:eastAsia="仿宋_GB2312" w:cs="仿宋_GB2312"/>
                <w:color w:val="auto"/>
                <w:szCs w:val="21"/>
              </w:rPr>
            </w:pPr>
          </w:p>
          <w:p>
            <w:pPr>
              <w:rPr>
                <w:rFonts w:ascii="仿宋_GB2312" w:hAnsi="仿宋_GB2312" w:eastAsia="仿宋_GB2312" w:cs="仿宋_GB2312"/>
                <w:color w:val="auto"/>
                <w:szCs w:val="21"/>
              </w:rPr>
            </w:pPr>
          </w:p>
          <w:p>
            <w:pPr>
              <w:rPr>
                <w:rFonts w:ascii="仿宋_GB2312" w:hAnsi="仿宋_GB2312" w:eastAsia="仿宋_GB2312" w:cs="仿宋_GB2312"/>
                <w:color w:val="auto"/>
                <w:szCs w:val="21"/>
              </w:rPr>
            </w:pPr>
          </w:p>
        </w:tc>
      </w:tr>
      <w:tr>
        <w:trPr>
          <w:trHeight w:val="857"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具备办理业务所必需的软硬件设备的说明材料。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原件 </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r>
      <w:tr>
        <w:trPr>
          <w:trHeight w:val="857"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拥有具备相应业务工作经验的高级管理人员和业务人员的说明材料。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原件 </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r>
      <w:tr>
        <w:trPr>
          <w:trHeight w:val="1432"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w:t>
            </w:r>
          </w:p>
        </w:tc>
        <w:tc>
          <w:tcPr>
            <w:tcW w:w="19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需要经银行业监督管理部门批准外汇业务经营资格的，还应提交外汇业务许可文件的复印件。 </w:t>
            </w:r>
          </w:p>
        </w:tc>
        <w:tc>
          <w:tcPr>
            <w:tcW w:w="951"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加盖企业公章的复印件 </w:t>
            </w:r>
          </w:p>
        </w:tc>
        <w:tc>
          <w:tcPr>
            <w:tcW w:w="4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87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纸质 </w:t>
            </w:r>
          </w:p>
        </w:tc>
        <w:tc>
          <w:tcPr>
            <w:tcW w:w="357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p>
        </w:tc>
      </w:tr>
    </w:tbl>
    <w:p>
      <w:pPr>
        <w:spacing w:beforeLines="50"/>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银行分行申请材料清单 </w:t>
      </w:r>
    </w:p>
    <w:tbl>
      <w:tblPr>
        <w:tblW w:w="8612" w:type="dxa"/>
        <w:jc w:val="center"/>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58"/>
        <w:gridCol w:w="2675"/>
        <w:gridCol w:w="1449"/>
        <w:gridCol w:w="780"/>
        <w:gridCol w:w="1226"/>
        <w:gridCol w:w="892"/>
        <w:gridCol w:w="1032"/>
      </w:tblGrid>
      <w:tr>
        <w:trPr>
          <w:trHeight w:val="55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序号</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提交材料名称</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原件/复印件</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份数</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纸质/电子</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要求</w:t>
            </w: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备注</w:t>
            </w:r>
          </w:p>
        </w:tc>
      </w:tr>
      <w:tr>
        <w:trPr>
          <w:trHeight w:val="34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《银行办理即期结售汇业务备案表》 </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2</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27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2</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办理结售汇业务的申请报告 </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509"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3</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《金融许可证》复印件 </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加盖企业公章的复印件</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5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4</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具备办理业务所必需的软硬件设备的说明材料。 </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5</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拥有具备相应业务工作经验的高级管理人员和业务人员的说明材料。 </w:t>
            </w:r>
          </w:p>
        </w:tc>
        <w:tc>
          <w:tcPr>
            <w:tcW w:w="1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7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12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bl>
    <w:p>
      <w:pPr>
        <w:spacing w:beforeLines="50"/>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银行支行及下辖机构申请材料清单 </w:t>
      </w:r>
    </w:p>
    <w:tbl>
      <w:tblPr>
        <w:tblW w:w="8612" w:type="dxa"/>
        <w:jc w:val="center"/>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5"/>
        <w:gridCol w:w="2231"/>
        <w:gridCol w:w="1235"/>
        <w:gridCol w:w="582"/>
        <w:gridCol w:w="1413"/>
        <w:gridCol w:w="535"/>
        <w:gridCol w:w="2091"/>
      </w:tblGrid>
      <w:tr>
        <w:trPr>
          <w:trHeight w:val="553"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1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5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份数 </w:t>
            </w:r>
          </w:p>
        </w:tc>
        <w:tc>
          <w:tcPr>
            <w:tcW w:w="1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纸质/电子 </w:t>
            </w:r>
          </w:p>
        </w:tc>
        <w:tc>
          <w:tcPr>
            <w:tcW w:w="5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20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547"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《银行办理即期结售汇业务备案表》 </w:t>
            </w:r>
          </w:p>
        </w:tc>
        <w:tc>
          <w:tcPr>
            <w:tcW w:w="1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5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1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5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20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下辖机构可以由支行集中办理备案手续 </w:t>
            </w:r>
          </w:p>
        </w:tc>
      </w:tr>
      <w:tr>
        <w:trPr>
          <w:trHeight w:val="546"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2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《金融许可证》复印件 </w:t>
            </w:r>
          </w:p>
        </w:tc>
        <w:tc>
          <w:tcPr>
            <w:tcW w:w="1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加盖企业公章的复印件 </w:t>
            </w:r>
          </w:p>
        </w:tc>
        <w:tc>
          <w:tcPr>
            <w:tcW w:w="5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1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5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209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bl>
    <w:p>
      <w:pPr>
        <w:spacing w:beforeLines="50"/>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十、</w:t>
      </w:r>
      <w:r>
        <w:rPr>
          <w:rFonts w:ascii="Times New Roman" w:hAnsi="Times New Roman" w:eastAsia="黑体"/>
          <w:color w:val="auto"/>
          <w:sz w:val="24"/>
        </w:rPr>
        <w:t>申请接受</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申请人可通过窗口、邮寄等方式提交材料。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邮寄地址：合肥市滨湖新区洞庭湖路3366号，邮政编码230091。</w:t>
      </w:r>
    </w:p>
    <w:p>
      <w:pPr>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十一、</w:t>
      </w:r>
      <w:r>
        <w:rPr>
          <w:rFonts w:ascii="Times New Roman" w:hAnsi="Times New Roman" w:eastAsia="黑体"/>
          <w:color w:val="auto"/>
          <w:sz w:val="24"/>
        </w:rPr>
        <w:t>基本办理流程</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申请人提交申请；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决定是否予以受理；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不予受理的，出具不予受理通知书；受理的，出具受理通知书，进行审查报批；</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（四）</w:t>
      </w:r>
      <w:r>
        <w:rPr>
          <w:rFonts w:ascii="Times New Roman" w:hAnsi="Times New Roman" w:eastAsia="仿宋_GB2312"/>
          <w:color w:val="auto"/>
          <w:sz w:val="24"/>
        </w:rPr>
        <w:t>不予许可的，出具不予许可通知书。许可的，向申请人出具正式公文或备案表</w:t>
      </w:r>
      <w:r>
        <w:rPr>
          <w:rFonts w:hint="eastAsia" w:ascii="Times New Roman" w:hAnsi="Times New Roman" w:eastAsia="仿宋_GB2312"/>
          <w:color w:val="auto"/>
          <w:sz w:val="24"/>
        </w:rPr>
        <w:t>；</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（五）</w:t>
      </w:r>
      <w:r>
        <w:rPr>
          <w:rFonts w:ascii="Times New Roman" w:hAnsi="Times New Roman" w:eastAsia="仿宋_GB2312"/>
          <w:color w:val="auto"/>
          <w:sz w:val="24"/>
        </w:rPr>
        <w:t xml:space="preserve">材料不全或不符合法定形式的，一次性告知补正材料，并出具《行政许可补正通知书》。 </w:t>
      </w:r>
    </w:p>
    <w:p>
      <w:pPr>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十二、</w:t>
      </w:r>
      <w:r>
        <w:rPr>
          <w:rFonts w:ascii="Times New Roman" w:hAnsi="Times New Roman" w:eastAsia="黑体"/>
          <w:color w:val="auto"/>
          <w:sz w:val="24"/>
        </w:rPr>
        <w:t>办理方式</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一般程序：申请、受理、审查、出具正式公文或备案表。 </w:t>
      </w:r>
    </w:p>
    <w:p>
      <w:pPr>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十三、</w:t>
      </w:r>
      <w:r>
        <w:rPr>
          <w:rFonts w:ascii="Times New Roman" w:hAnsi="Times New Roman" w:eastAsia="黑体"/>
          <w:color w:val="auto"/>
          <w:sz w:val="24"/>
        </w:rPr>
        <w:t>审批时限</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法定时限20个工作日。</w:t>
      </w:r>
    </w:p>
    <w:p>
      <w:pPr>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十四、</w:t>
      </w:r>
      <w:r>
        <w:rPr>
          <w:rFonts w:ascii="Times New Roman" w:hAnsi="Times New Roman" w:eastAsia="黑体"/>
          <w:color w:val="auto"/>
          <w:sz w:val="24"/>
        </w:rPr>
        <w:t>审批收费依据及标准</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不收费。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十五、</w:t>
      </w:r>
      <w:r>
        <w:rPr>
          <w:rFonts w:ascii="Times New Roman" w:hAnsi="Times New Roman" w:eastAsia="黑体"/>
          <w:color w:val="auto"/>
          <w:sz w:val="24"/>
        </w:rPr>
        <w:t xml:space="preserve">审批结果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正式公文或备案表。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十六、</w:t>
      </w:r>
      <w:r>
        <w:rPr>
          <w:rFonts w:ascii="Times New Roman" w:hAnsi="Times New Roman" w:eastAsia="黑体"/>
          <w:color w:val="auto"/>
          <w:sz w:val="24"/>
        </w:rPr>
        <w:t xml:space="preserve">结果送达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通过现场告知或电话通知申请人，并通过现场领取或邮寄方式将结果送达。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十七、</w:t>
      </w:r>
      <w:r>
        <w:rPr>
          <w:rFonts w:ascii="Times New Roman" w:hAnsi="Times New Roman" w:eastAsia="黑体"/>
          <w:color w:val="auto"/>
          <w:sz w:val="24"/>
        </w:rPr>
        <w:t xml:space="preserve">申请人权利和义务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申请人有权依法提出行政审批申请，依法进行投诉、举报、复议、诉讼等。申请人有义务保证申请材料完整、真实、准确，获批后合法合规办理相关业务。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十八、</w:t>
      </w:r>
      <w:r>
        <w:rPr>
          <w:rFonts w:ascii="Times New Roman" w:hAnsi="Times New Roman" w:eastAsia="黑体"/>
          <w:color w:val="auto"/>
          <w:sz w:val="24"/>
        </w:rPr>
        <w:t xml:space="preserve">事项审查类型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十九、</w:t>
      </w:r>
      <w:r>
        <w:rPr>
          <w:rFonts w:ascii="Times New Roman" w:hAnsi="Times New Roman" w:eastAsia="黑体"/>
          <w:color w:val="auto"/>
          <w:sz w:val="24"/>
        </w:rPr>
        <w:t xml:space="preserve">办公地址和时间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w:t>
      </w:r>
      <w:r>
        <w:rPr>
          <w:rFonts w:ascii="Times New Roman" w:hAnsi="Times New Roman" w:eastAsia="黑体"/>
          <w:color w:val="auto"/>
          <w:sz w:val="24"/>
        </w:rPr>
        <w:t xml:space="preserve">禁止性要求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如符合上述条件，不存在不予许可的情况。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二十一、</w:t>
      </w:r>
      <w:r>
        <w:rPr>
          <w:rFonts w:ascii="Times New Roman" w:hAnsi="Times New Roman" w:eastAsia="黑体"/>
          <w:color w:val="auto"/>
          <w:sz w:val="24"/>
        </w:rPr>
        <w:t xml:space="preserve">咨询途径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二十二、</w:t>
      </w:r>
      <w:r>
        <w:rPr>
          <w:rFonts w:ascii="Times New Roman" w:hAnsi="Times New Roman" w:eastAsia="黑体"/>
          <w:color w:val="auto"/>
          <w:sz w:val="24"/>
        </w:rPr>
        <w:t xml:space="preserve">办理进程和结果公开查询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二十三、</w:t>
      </w:r>
      <w:r>
        <w:rPr>
          <w:rFonts w:ascii="Times New Roman" w:hAnsi="Times New Roman" w:eastAsia="黑体"/>
          <w:color w:val="auto"/>
          <w:sz w:val="24"/>
        </w:rPr>
        <w:t>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二十四、</w:t>
      </w:r>
      <w:r>
        <w:rPr>
          <w:rFonts w:ascii="Times New Roman" w:hAnsi="Times New Roman" w:eastAsia="黑体"/>
          <w:color w:val="auto"/>
          <w:sz w:val="24"/>
        </w:rPr>
        <w:t>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无固定格式，但需要根据总行、分行、支行提供不同的材料。</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二十五、</w:t>
      </w:r>
      <w:r>
        <w:rPr>
          <w:rFonts w:ascii="Times New Roman" w:hAnsi="Times New Roman" w:eastAsia="黑体"/>
          <w:color w:val="auto"/>
          <w:sz w:val="24"/>
        </w:rPr>
        <w:t>常见问题解答</w:t>
      </w:r>
    </w:p>
    <w:p>
      <w:pPr>
        <w:ind w:firstLine="480" w:firstLineChars="200"/>
        <w:rPr>
          <w:rFonts w:ascii="Times New Roman" w:hAnsi="Times New Roman" w:eastAsia="仿宋_GB2312"/>
          <w:color w:val="auto"/>
          <w:sz w:val="24"/>
        </w:rPr>
        <w:sectPr>
          <w:pgSz w:w="11849" w:h="16781"/>
          <w:pgMar w:top="1440" w:right="1800" w:bottom="1440" w:left="1800" w:header="720" w:footer="720" w:gutter="0"/>
          <w:pgNumType w:fmt="decimal"/>
          <w:cols w:space="720" w:num="1"/>
        </w:sectPr>
      </w:pPr>
      <w:r>
        <w:rPr>
          <w:rFonts w:ascii="Times New Roman" w:hAnsi="Times New Roman" w:eastAsia="仿宋_GB2312"/>
          <w:color w:val="auto"/>
          <w:sz w:val="24"/>
        </w:rPr>
        <w:t>法定时限在20个工作日以内。但办理过程中所需的现场验收等，不计入时限。</w:t>
      </w:r>
    </w:p>
    <w:p>
      <w:pPr>
        <w:pStyle w:val="2"/>
        <w:ind w:firstLine="720"/>
        <w:jc w:val="center"/>
        <w:rPr>
          <w:color w:val="auto"/>
          <w:sz w:val="36"/>
          <w:szCs w:val="44"/>
        </w:rPr>
      </w:pPr>
      <w:bookmarkStart w:id="8" w:name="_Toc4054"/>
      <w:bookmarkStart w:id="9" w:name="_Toc24607"/>
      <w:bookmarkStart w:id="10" w:name="_Toc5372"/>
      <w:r>
        <w:rPr>
          <w:color w:val="auto"/>
          <w:sz w:val="36"/>
          <w:szCs w:val="44"/>
        </w:rPr>
        <w:t>银行（含农村信用社）人民币与外汇</w:t>
      </w:r>
      <w:r>
        <w:rPr>
          <w:color w:val="auto"/>
          <w:sz w:val="36"/>
          <w:szCs w:val="44"/>
        </w:rPr>
        <w:br/>
      </w:r>
      <w:r>
        <w:rPr>
          <w:color w:val="auto"/>
          <w:sz w:val="36"/>
          <w:szCs w:val="44"/>
        </w:rPr>
        <w:t>衍生</w:t>
      </w:r>
      <w:bookmarkStart w:id="11" w:name="_Toc5805"/>
      <w:bookmarkStart w:id="12" w:name="_Toc14751"/>
      <w:bookmarkEnd w:id="8"/>
      <w:bookmarkEnd w:id="9"/>
      <w:r>
        <w:rPr>
          <w:color w:val="auto"/>
          <w:sz w:val="36"/>
          <w:szCs w:val="44"/>
        </w:rPr>
        <w:t>产品业务市场准入</w:t>
      </w:r>
      <w:bookmarkEnd w:id="10"/>
      <w:bookmarkEnd w:id="11"/>
      <w:bookmarkEnd w:id="12"/>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一、项目信息</w:t>
      </w:r>
    </w:p>
    <w:p>
      <w:pPr>
        <w:tabs>
          <w:tab w:val="left" w:pos="4253"/>
        </w:tabs>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项目名称：银行、农村信用社、兑换机构及非金融机构等结汇、售汇业务市场准入、退出审批；</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子项名称：</w:t>
      </w:r>
      <w:r>
        <w:rPr>
          <w:rFonts w:ascii="Times New Roman" w:hAnsi="Times New Roman" w:eastAsia="仿宋_GB2312"/>
          <w:color w:val="auto"/>
          <w:sz w:val="24"/>
          <w:szCs w:val="24"/>
        </w:rPr>
        <w:t>银行（含农村信用社）人民币与外汇衍生产品业务市场准入</w:t>
      </w:r>
      <w:r>
        <w:rPr>
          <w:rFonts w:hint="eastAsia" w:ascii="Times New Roman" w:hAnsi="Times New Roman" w:eastAsia="仿宋_GB2312"/>
          <w:color w:val="auto"/>
          <w:sz w:val="24"/>
          <w:szCs w:val="24"/>
        </w:rPr>
        <w:t>；</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审批类别：行政许可。</w:t>
      </w:r>
    </w:p>
    <w:p>
      <w:pPr>
        <w:ind w:firstLine="480" w:firstLineChars="200"/>
        <w:rPr>
          <w:rFonts w:ascii="Times New Roman" w:hAnsi="Times New Roman" w:eastAsia="仿宋_GB2312"/>
          <w:color w:val="auto"/>
          <w:sz w:val="24"/>
          <w:szCs w:val="24"/>
        </w:rPr>
      </w:pPr>
      <w:r>
        <w:rPr>
          <w:rFonts w:hint="eastAsia" w:ascii="黑体" w:hAnsi="黑体" w:eastAsia="黑体"/>
          <w:color w:val="auto"/>
          <w:sz w:val="24"/>
          <w:szCs w:val="24"/>
        </w:rPr>
        <w:t xml:space="preserve">二、适用范围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本指南适用于“银行、农村信用社、兑换机构及非金融机构等结汇、售汇业务市场准入、退出审批”的申请和办理。 </w:t>
      </w:r>
    </w:p>
    <w:p>
      <w:pPr>
        <w:ind w:firstLine="480" w:firstLineChars="200"/>
        <w:rPr>
          <w:rFonts w:ascii="黑体" w:hAnsi="黑体" w:eastAsia="黑体"/>
          <w:color w:val="auto"/>
          <w:sz w:val="24"/>
          <w:szCs w:val="24"/>
        </w:rPr>
      </w:pPr>
      <w:r>
        <w:rPr>
          <w:rFonts w:hint="eastAsia" w:ascii="黑体" w:hAnsi="黑体" w:eastAsia="黑体"/>
          <w:color w:val="auto"/>
          <w:sz w:val="24"/>
          <w:szCs w:val="24"/>
        </w:rPr>
        <w:t xml:space="preserve">三、设定依据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（二）《中华人民共和国外汇管理条例》（国务院令第532号）第五十三条：“非金融机构经营结汇、售汇业务，应当由国务院外汇管理部门批准，具体管理办法由国务院外汇管理部门另行制定”。</w:t>
      </w:r>
    </w:p>
    <w:p>
      <w:pPr>
        <w:ind w:firstLine="480" w:firstLineChars="200"/>
        <w:rPr>
          <w:rFonts w:ascii="Times New Roman" w:hAnsi="Times New Roman" w:eastAsia="仿宋_GB2312"/>
          <w:color w:val="auto"/>
          <w:sz w:val="24"/>
          <w:szCs w:val="24"/>
        </w:rPr>
      </w:pPr>
      <w:r>
        <w:rPr>
          <w:rFonts w:hint="eastAsia" w:ascii="Times New Roman" w:hAnsi="Times New Roman" w:eastAsia="黑体"/>
          <w:color w:val="auto"/>
          <w:sz w:val="24"/>
          <w:szCs w:val="24"/>
        </w:rPr>
        <w:t>四、</w:t>
      </w:r>
      <w:r>
        <w:rPr>
          <w:rFonts w:ascii="Times New Roman" w:hAnsi="Times New Roman" w:eastAsia="黑体"/>
          <w:color w:val="auto"/>
          <w:sz w:val="24"/>
          <w:szCs w:val="24"/>
        </w:rPr>
        <w:t>办理依据</w:t>
      </w:r>
      <w:r>
        <w:rPr>
          <w:rFonts w:ascii="Times New Roman" w:hAnsi="Times New Roman" w:eastAsia="仿宋_GB2312"/>
          <w:color w:val="auto"/>
          <w:sz w:val="24"/>
          <w:szCs w:val="24"/>
        </w:rPr>
        <w:t xml:space="preserve">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《中华人民共和国外汇管理条例》（国务院令第532号）；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《银行办理结售汇业务管理办法》（中国人民银行令〔2014〕第2号）；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（三）</w:t>
      </w:r>
      <w:r>
        <w:rPr>
          <w:rFonts w:ascii="Times New Roman" w:hAnsi="Times New Roman" w:eastAsia="仿宋_GB2312"/>
          <w:color w:val="auto"/>
          <w:sz w:val="24"/>
          <w:szCs w:val="24"/>
        </w:rPr>
        <w:t xml:space="preserve">《国家外汇管理局关于印发〈银行办理结售汇业务管理办法实施细则〉的通知》（汇发〔2014〕53号）。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五、</w:t>
      </w:r>
      <w:r>
        <w:rPr>
          <w:rFonts w:ascii="Times New Roman" w:hAnsi="Times New Roman" w:eastAsia="黑体"/>
          <w:color w:val="auto"/>
          <w:sz w:val="24"/>
          <w:szCs w:val="24"/>
        </w:rPr>
        <w:t xml:space="preserve">受理机构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仅适用于总行。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政策性银行、全国性商业银行向国家外汇管理局申请；其他银行向所在地国家外汇管理局分局申请，如处于市、县，应向所在地国家外汇管理局中心支局或支局申请，并逐级上报至国家外汇管理局分局。外国银行分行视同总行管理。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六、</w:t>
      </w:r>
      <w:r>
        <w:rPr>
          <w:rFonts w:ascii="Times New Roman" w:hAnsi="Times New Roman" w:eastAsia="黑体"/>
          <w:color w:val="auto"/>
          <w:sz w:val="24"/>
          <w:szCs w:val="24"/>
        </w:rPr>
        <w:t xml:space="preserve">决定机构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政策性银行、全国性商业银行决定机构为国家外汇管理局；其他银行决定机构为所在地国家外汇管理局分局。外国银行分行视同总行管理。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七、</w:t>
      </w:r>
      <w:r>
        <w:rPr>
          <w:rFonts w:ascii="Times New Roman" w:hAnsi="Times New Roman" w:eastAsia="黑体"/>
          <w:color w:val="auto"/>
          <w:sz w:val="24"/>
          <w:szCs w:val="24"/>
        </w:rPr>
        <w:t xml:space="preserve">审批数量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无数量限制。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八、</w:t>
      </w:r>
      <w:r>
        <w:rPr>
          <w:rFonts w:ascii="Times New Roman" w:hAnsi="Times New Roman" w:eastAsia="黑体"/>
          <w:color w:val="auto"/>
          <w:sz w:val="24"/>
          <w:szCs w:val="24"/>
        </w:rPr>
        <w:t xml:space="preserve">办事条件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申请人需同时符合以下条件：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取得即期结售汇业务资格。</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有健全的衍生产品交易风险管理制度和内部控制制度及适当的风险识别、计量、管理和交易系统，配备开展衍生产品业务所需要的专业人员。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（三）</w:t>
      </w:r>
      <w:r>
        <w:rPr>
          <w:rFonts w:ascii="Times New Roman" w:hAnsi="Times New Roman" w:eastAsia="仿宋_GB2312"/>
          <w:color w:val="auto"/>
          <w:sz w:val="24"/>
          <w:szCs w:val="24"/>
        </w:rPr>
        <w:t>符合银行业监督管理部门有关金融衍生产品交易业务资格的规定。</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九、</w:t>
      </w:r>
      <w:r>
        <w:rPr>
          <w:rFonts w:ascii="Times New Roman" w:hAnsi="Times New Roman" w:eastAsia="黑体"/>
          <w:color w:val="auto"/>
          <w:sz w:val="24"/>
          <w:szCs w:val="24"/>
        </w:rPr>
        <w:t xml:space="preserve">申请材料 </w:t>
      </w:r>
    </w:p>
    <w:tbl>
      <w:tblPr>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4"/>
        <w:gridCol w:w="1364"/>
        <w:gridCol w:w="948"/>
        <w:gridCol w:w="430"/>
        <w:gridCol w:w="775"/>
        <w:gridCol w:w="3208"/>
        <w:gridCol w:w="1463"/>
      </w:tblGrid>
      <w:tr>
        <w:trPr>
          <w:trHeight w:val="357" w:hRule="atLeast"/>
          <w:jc w:val="center"/>
        </w:trPr>
        <w:tc>
          <w:tcPr>
            <w:tcW w:w="42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136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94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43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份数 </w:t>
            </w:r>
          </w:p>
        </w:tc>
        <w:tc>
          <w:tcPr>
            <w:tcW w:w="7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纸质/电子 </w:t>
            </w:r>
          </w:p>
        </w:tc>
        <w:tc>
          <w:tcPr>
            <w:tcW w:w="320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146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506" w:hRule="atLeast"/>
          <w:jc w:val="center"/>
        </w:trPr>
        <w:tc>
          <w:tcPr>
            <w:tcW w:w="42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136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申请报告、可行性报告及业务计划书 </w:t>
            </w:r>
          </w:p>
        </w:tc>
        <w:tc>
          <w:tcPr>
            <w:tcW w:w="94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3208" w:type="dxa"/>
            <w:vAlign w:val="center"/>
          </w:tcPr>
          <w:p>
            <w:pPr>
              <w:rPr>
                <w:rFonts w:ascii="Times New Roman" w:hAnsi="Times New Roman" w:eastAsia="仿宋_GB2312"/>
                <w:color w:val="auto"/>
                <w:szCs w:val="21"/>
              </w:rPr>
            </w:pPr>
          </w:p>
        </w:tc>
        <w:tc>
          <w:tcPr>
            <w:tcW w:w="1463" w:type="dxa"/>
            <w:vAlign w:val="center"/>
          </w:tcPr>
          <w:p>
            <w:pPr>
              <w:rPr>
                <w:rFonts w:ascii="Times New Roman" w:hAnsi="Times New Roman" w:eastAsia="仿宋_GB2312"/>
                <w:color w:val="auto"/>
                <w:szCs w:val="21"/>
              </w:rPr>
            </w:pPr>
          </w:p>
        </w:tc>
      </w:tr>
      <w:tr>
        <w:trPr>
          <w:trHeight w:val="2483" w:hRule="atLeast"/>
          <w:jc w:val="center"/>
        </w:trPr>
        <w:tc>
          <w:tcPr>
            <w:tcW w:w="42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136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衍生产品业务内部管理规章制度 </w:t>
            </w:r>
          </w:p>
        </w:tc>
        <w:tc>
          <w:tcPr>
            <w:tcW w:w="94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320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应当至少包括以下内容： </w:t>
            </w:r>
          </w:p>
          <w:p>
            <w:pPr>
              <w:rPr>
                <w:rFonts w:ascii="Times New Roman" w:hAnsi="Times New Roman" w:eastAsia="仿宋_GB2312"/>
                <w:color w:val="auto"/>
                <w:szCs w:val="21"/>
              </w:rPr>
            </w:pPr>
            <w:r>
              <w:rPr>
                <w:rFonts w:ascii="Times New Roman" w:hAnsi="Times New Roman" w:eastAsia="仿宋_GB2312"/>
                <w:color w:val="auto"/>
                <w:szCs w:val="21"/>
              </w:rPr>
              <w:t xml:space="preserve">1．业务操作规程，包括交易受理、客户评估、单证审核等业务流程和操作标准；2．产品定价模型，包括定价方法和各项参数的选取标准及来源； </w:t>
            </w:r>
          </w:p>
          <w:p>
            <w:pPr>
              <w:rPr>
                <w:rFonts w:ascii="Times New Roman" w:hAnsi="Times New Roman" w:eastAsia="仿宋_GB2312"/>
                <w:color w:val="auto"/>
                <w:szCs w:val="21"/>
              </w:rPr>
            </w:pPr>
            <w:r>
              <w:rPr>
                <w:rFonts w:ascii="Times New Roman" w:hAnsi="Times New Roman" w:eastAsia="仿宋_GB2312"/>
                <w:color w:val="auto"/>
                <w:szCs w:val="21"/>
              </w:rPr>
              <w:t>3．风险管理制度，包括风险管理架构、风险模型指标及量化管理指标、风险缓释措施、头寸平盘机制；</w:t>
            </w:r>
          </w:p>
          <w:p>
            <w:pPr>
              <w:rPr>
                <w:rFonts w:ascii="Times New Roman" w:hAnsi="Times New Roman" w:eastAsia="仿宋_GB2312"/>
                <w:color w:val="auto"/>
                <w:szCs w:val="21"/>
              </w:rPr>
            </w:pPr>
            <w:r>
              <w:rPr>
                <w:rFonts w:ascii="Times New Roman" w:hAnsi="Times New Roman" w:eastAsia="仿宋_GB2312"/>
                <w:color w:val="auto"/>
                <w:szCs w:val="21"/>
              </w:rPr>
              <w:t xml:space="preserve">4．会计核算制度，包括科目设置和会计核算方法； </w:t>
            </w:r>
          </w:p>
          <w:p>
            <w:pPr>
              <w:rPr>
                <w:rFonts w:ascii="Times New Roman" w:hAnsi="Times New Roman" w:eastAsia="仿宋_GB2312"/>
                <w:color w:val="auto"/>
                <w:szCs w:val="21"/>
              </w:rPr>
            </w:pPr>
            <w:r>
              <w:rPr>
                <w:rFonts w:ascii="Times New Roman" w:hAnsi="Times New Roman" w:eastAsia="仿宋_GB2312"/>
                <w:color w:val="auto"/>
                <w:szCs w:val="21"/>
              </w:rPr>
              <w:t xml:space="preserve">5．统计报告制度，包括数据采集渠道和操作程序。 </w:t>
            </w:r>
          </w:p>
        </w:tc>
        <w:tc>
          <w:tcPr>
            <w:tcW w:w="146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银行应当根据拟开办各类衍生产品业务的实际特征，提交具有针对性与适用性的文件和资料。 </w:t>
            </w:r>
          </w:p>
        </w:tc>
      </w:tr>
      <w:tr>
        <w:trPr>
          <w:trHeight w:val="596" w:hRule="atLeast"/>
          <w:jc w:val="center"/>
        </w:trPr>
        <w:tc>
          <w:tcPr>
            <w:tcW w:w="42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3 </w:t>
            </w:r>
          </w:p>
        </w:tc>
        <w:tc>
          <w:tcPr>
            <w:tcW w:w="136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主管人员和主要交易人员名单、履历。 </w:t>
            </w:r>
          </w:p>
        </w:tc>
        <w:tc>
          <w:tcPr>
            <w:tcW w:w="94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3208" w:type="dxa"/>
            <w:vAlign w:val="center"/>
          </w:tcPr>
          <w:p>
            <w:pPr>
              <w:rPr>
                <w:rFonts w:ascii="Times New Roman" w:hAnsi="Times New Roman" w:eastAsia="仿宋_GB2312"/>
                <w:color w:val="auto"/>
                <w:szCs w:val="21"/>
              </w:rPr>
            </w:pPr>
          </w:p>
        </w:tc>
        <w:tc>
          <w:tcPr>
            <w:tcW w:w="1463" w:type="dxa"/>
            <w:vAlign w:val="center"/>
          </w:tcPr>
          <w:p>
            <w:pPr>
              <w:rPr>
                <w:rFonts w:ascii="Times New Roman" w:hAnsi="Times New Roman" w:eastAsia="仿宋_GB2312"/>
                <w:color w:val="auto"/>
                <w:szCs w:val="21"/>
              </w:rPr>
            </w:pPr>
          </w:p>
        </w:tc>
      </w:tr>
      <w:tr>
        <w:trPr>
          <w:trHeight w:val="1281" w:hRule="atLeast"/>
          <w:jc w:val="center"/>
        </w:trPr>
        <w:tc>
          <w:tcPr>
            <w:tcW w:w="42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4 </w:t>
            </w:r>
          </w:p>
        </w:tc>
        <w:tc>
          <w:tcPr>
            <w:tcW w:w="1364"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符合银行业监督管理部门有关金融衍生产品交易业务资格规定的证明文件</w:t>
            </w:r>
          </w:p>
        </w:tc>
        <w:tc>
          <w:tcPr>
            <w:tcW w:w="94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加盖企业公章的复印件 </w:t>
            </w:r>
          </w:p>
        </w:tc>
        <w:tc>
          <w:tcPr>
            <w:tcW w:w="43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3208" w:type="dxa"/>
            <w:vAlign w:val="center"/>
          </w:tcPr>
          <w:p>
            <w:pPr>
              <w:rPr>
                <w:rFonts w:ascii="Times New Roman" w:hAnsi="Times New Roman" w:eastAsia="仿宋_GB2312"/>
                <w:color w:val="auto"/>
                <w:szCs w:val="21"/>
              </w:rPr>
            </w:pPr>
          </w:p>
        </w:tc>
        <w:tc>
          <w:tcPr>
            <w:tcW w:w="1463" w:type="dxa"/>
            <w:vAlign w:val="center"/>
          </w:tcPr>
          <w:p>
            <w:pPr>
              <w:rPr>
                <w:rFonts w:ascii="Times New Roman" w:hAnsi="Times New Roman" w:eastAsia="仿宋_GB2312"/>
                <w:color w:val="auto"/>
                <w:szCs w:val="21"/>
              </w:rPr>
            </w:pPr>
          </w:p>
        </w:tc>
      </w:tr>
    </w:tbl>
    <w:p>
      <w:pPr>
        <w:spacing w:beforeLines="50"/>
        <w:ind w:firstLine="480" w:firstLineChars="200"/>
        <w:rPr>
          <w:rFonts w:ascii="Times New Roman" w:hAnsi="Times New Roman" w:eastAsia="黑体"/>
          <w:color w:val="auto"/>
          <w:sz w:val="24"/>
        </w:rPr>
      </w:pPr>
      <w:r>
        <w:rPr>
          <w:rFonts w:hint="eastAsia" w:ascii="Times New Roman" w:hAnsi="Times New Roman" w:eastAsia="黑体"/>
          <w:color w:val="auto"/>
          <w:sz w:val="24"/>
        </w:rPr>
        <w:t>十、</w:t>
      </w:r>
      <w:r>
        <w:rPr>
          <w:rFonts w:ascii="Times New Roman" w:hAnsi="Times New Roman" w:eastAsia="黑体"/>
          <w:color w:val="auto"/>
          <w:sz w:val="24"/>
        </w:rPr>
        <w:t xml:space="preserve">申请接受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申请人可通过窗口、邮寄等方式提交材料。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邮寄地址：合肥市滨湖新区洞庭湖路3366号，邮政编码230091。</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十一、</w:t>
      </w:r>
      <w:r>
        <w:rPr>
          <w:rFonts w:ascii="Times New Roman" w:hAnsi="Times New Roman" w:eastAsia="黑体"/>
          <w:color w:val="auto"/>
          <w:sz w:val="24"/>
        </w:rPr>
        <w:t xml:space="preserve">基本办理流程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1.申请人提交申请；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2.决定是否予以受理；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3.不予受理的，出具不予受理通知书；受理的，出具受理通知书，进行审查报批；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4.不予许可的，出具不予许可通知书。许可的，向申请人出具正式公文或备案通知书。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5.材料不全或不符合法定形式的，一次性告知补正材料，并出具《行政许可补正通知书》。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十二、</w:t>
      </w:r>
      <w:r>
        <w:rPr>
          <w:rFonts w:ascii="Times New Roman" w:hAnsi="Times New Roman" w:eastAsia="黑体"/>
          <w:color w:val="auto"/>
          <w:sz w:val="24"/>
        </w:rPr>
        <w:t xml:space="preserve">办理方式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一般程序：申请、受理、审查、出具正式公文或备案通知书。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十三、</w:t>
      </w:r>
      <w:r>
        <w:rPr>
          <w:rFonts w:ascii="Times New Roman" w:hAnsi="Times New Roman" w:eastAsia="黑体"/>
          <w:color w:val="auto"/>
          <w:sz w:val="24"/>
        </w:rPr>
        <w:t xml:space="preserve">审批时限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法定时限20个工作日。</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十四、</w:t>
      </w:r>
      <w:r>
        <w:rPr>
          <w:rFonts w:ascii="Times New Roman" w:hAnsi="Times New Roman" w:eastAsia="黑体"/>
          <w:color w:val="auto"/>
          <w:sz w:val="24"/>
        </w:rPr>
        <w:t xml:space="preserve">审批收费依据及标准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不收费。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十五、</w:t>
      </w:r>
      <w:r>
        <w:rPr>
          <w:rFonts w:ascii="Times New Roman" w:hAnsi="Times New Roman" w:eastAsia="黑体"/>
          <w:color w:val="auto"/>
          <w:sz w:val="24"/>
        </w:rPr>
        <w:t xml:space="preserve">审批结果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正式公文或备案通知书。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十六、</w:t>
      </w:r>
      <w:r>
        <w:rPr>
          <w:rFonts w:ascii="Times New Roman" w:hAnsi="Times New Roman" w:eastAsia="黑体"/>
          <w:color w:val="auto"/>
          <w:sz w:val="24"/>
        </w:rPr>
        <w:t>结果送达</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通过现场告知或电话通知申请人，并通过现场领取或邮寄方式将结果送达。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十七、</w:t>
      </w:r>
      <w:r>
        <w:rPr>
          <w:rFonts w:ascii="Times New Roman" w:hAnsi="Times New Roman" w:eastAsia="黑体"/>
          <w:color w:val="auto"/>
          <w:sz w:val="24"/>
        </w:rPr>
        <w:t xml:space="preserve">申请人权利和义务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申请人有权依法提出行政审批申请，依法进行投诉、举报、复议、诉讼等。申请人有义务保证申请材料完整、真实、准确，获批后合法合规办理相关业务。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十八、</w:t>
      </w:r>
      <w:r>
        <w:rPr>
          <w:rFonts w:ascii="Times New Roman" w:hAnsi="Times New Roman" w:eastAsia="黑体"/>
          <w:color w:val="auto"/>
          <w:sz w:val="24"/>
        </w:rPr>
        <w:t xml:space="preserve">事项审查类型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十九、</w:t>
      </w:r>
      <w:r>
        <w:rPr>
          <w:rFonts w:ascii="Times New Roman" w:hAnsi="Times New Roman" w:eastAsia="黑体"/>
          <w:color w:val="auto"/>
          <w:sz w:val="24"/>
        </w:rPr>
        <w:t xml:space="preserve">办公地址和时间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r>
        <w:rPr>
          <w:rFonts w:hint="eastAsia" w:ascii="Times New Roman" w:hAnsi="Times New Roman" w:eastAsia="仿宋_GB2312"/>
          <w:color w:val="auto"/>
          <w:sz w:val="24"/>
        </w:rPr>
        <w:t>。</w:t>
      </w:r>
    </w:p>
    <w:p>
      <w:pPr>
        <w:ind w:firstLine="480" w:firstLineChars="200"/>
        <w:rPr>
          <w:rFonts w:ascii="Times New Roman" w:hAnsi="Times New Roman" w:eastAsia="仿宋_GB2312"/>
          <w:color w:val="auto"/>
          <w:sz w:val="24"/>
        </w:rPr>
      </w:pPr>
      <w:r>
        <w:rPr>
          <w:rFonts w:hint="eastAsia" w:ascii="Times New Roman" w:hAnsi="Times New Roman" w:eastAsia="黑体"/>
          <w:color w:val="auto"/>
          <w:sz w:val="24"/>
        </w:rPr>
        <w:t>二十、</w:t>
      </w:r>
      <w:r>
        <w:rPr>
          <w:rFonts w:ascii="Times New Roman" w:hAnsi="Times New Roman" w:eastAsia="黑体"/>
          <w:color w:val="auto"/>
          <w:sz w:val="24"/>
        </w:rPr>
        <w:t xml:space="preserve">禁止性要求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如符合上述条件，不存在不予许可的情况。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二十一、</w:t>
      </w:r>
      <w:r>
        <w:rPr>
          <w:rFonts w:ascii="Times New Roman" w:hAnsi="Times New Roman" w:eastAsia="黑体"/>
          <w:color w:val="auto"/>
          <w:sz w:val="24"/>
        </w:rPr>
        <w:t xml:space="preserve">咨询途径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二十二、</w:t>
      </w:r>
      <w:r>
        <w:rPr>
          <w:rFonts w:ascii="Times New Roman" w:hAnsi="Times New Roman" w:eastAsia="黑体"/>
          <w:color w:val="auto"/>
          <w:sz w:val="24"/>
        </w:rPr>
        <w:t xml:space="preserve">办理进程和结果公开查询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二十三、</w:t>
      </w:r>
      <w:r>
        <w:rPr>
          <w:rFonts w:ascii="Times New Roman" w:hAnsi="Times New Roman" w:eastAsia="黑体"/>
          <w:color w:val="auto"/>
          <w:sz w:val="24"/>
        </w:rPr>
        <w:t>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二十四、</w:t>
      </w:r>
      <w:r>
        <w:rPr>
          <w:rFonts w:ascii="Times New Roman" w:hAnsi="Times New Roman" w:eastAsia="黑体"/>
          <w:color w:val="auto"/>
          <w:sz w:val="24"/>
        </w:rPr>
        <w:t>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无固定格式，但需要根据总行、分行、支行提供不同的材料。</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二十五、</w:t>
      </w:r>
      <w:r>
        <w:rPr>
          <w:rFonts w:ascii="Times New Roman" w:hAnsi="Times New Roman" w:eastAsia="黑体"/>
          <w:color w:val="auto"/>
          <w:sz w:val="24"/>
        </w:rPr>
        <w:t>常见问题解答</w:t>
      </w:r>
    </w:p>
    <w:p>
      <w:pPr>
        <w:ind w:firstLine="480" w:firstLineChars="200"/>
        <w:rPr>
          <w:rFonts w:ascii="Times New Roman" w:hAnsi="Times New Roman" w:eastAsia="仿宋_GB2312"/>
          <w:color w:val="auto"/>
          <w:sz w:val="24"/>
        </w:rPr>
        <w:sectPr>
          <w:pgSz w:w="11849" w:h="16781"/>
          <w:pgMar w:top="1440" w:right="1800" w:bottom="1440" w:left="1800" w:header="720" w:footer="720" w:gutter="0"/>
          <w:pgNumType w:fmt="decimal"/>
          <w:cols w:space="720" w:num="1"/>
        </w:sectPr>
      </w:pPr>
      <w:r>
        <w:rPr>
          <w:rFonts w:ascii="Times New Roman" w:hAnsi="Times New Roman" w:eastAsia="仿宋_GB2312"/>
          <w:color w:val="auto"/>
          <w:sz w:val="24"/>
        </w:rPr>
        <w:t>法定时限在20个工作日以内。但办理过程中所需的现场验收等，不计入时限。</w:t>
      </w:r>
    </w:p>
    <w:p>
      <w:pPr>
        <w:pStyle w:val="2"/>
        <w:ind w:firstLine="0" w:firstLineChars="0"/>
        <w:jc w:val="center"/>
        <w:rPr>
          <w:color w:val="auto"/>
          <w:sz w:val="36"/>
        </w:rPr>
      </w:pPr>
      <w:bookmarkStart w:id="13" w:name="_Toc30468"/>
      <w:bookmarkStart w:id="14" w:name="_Toc29508"/>
      <w:bookmarkStart w:id="15" w:name="_Toc16516"/>
      <w:r>
        <w:rPr>
          <w:color w:val="auto"/>
          <w:sz w:val="36"/>
        </w:rPr>
        <w:t>银行合作办理远期结售汇业务市场</w:t>
      </w:r>
      <w:bookmarkEnd w:id="13"/>
      <w:bookmarkEnd w:id="14"/>
      <w:bookmarkStart w:id="16" w:name="_Toc26460"/>
      <w:bookmarkStart w:id="17" w:name="_Toc25053"/>
      <w:r>
        <w:rPr>
          <w:color w:val="auto"/>
          <w:sz w:val="36"/>
        </w:rPr>
        <w:br/>
      </w:r>
      <w:r>
        <w:rPr>
          <w:color w:val="auto"/>
          <w:sz w:val="36"/>
        </w:rPr>
        <w:t>准入审批</w:t>
      </w:r>
      <w:bookmarkEnd w:id="15"/>
      <w:bookmarkEnd w:id="16"/>
      <w:bookmarkEnd w:id="17"/>
    </w:p>
    <w:p>
      <w:pPr>
        <w:ind w:firstLine="480" w:firstLineChars="200"/>
        <w:rPr>
          <w:rFonts w:ascii="Times New Roman" w:hAnsi="Times New Roman" w:eastAsia="黑体"/>
          <w:color w:val="auto"/>
          <w:sz w:val="24"/>
          <w:szCs w:val="24"/>
        </w:rPr>
      </w:pPr>
      <w:r>
        <w:rPr>
          <w:rFonts w:ascii="Times New Roman" w:hAnsi="Times New Roman" w:eastAsia="黑体"/>
          <w:color w:val="auto"/>
          <w:sz w:val="24"/>
          <w:szCs w:val="24"/>
        </w:rPr>
        <w:t>一、项目信息</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项目名称：银行、农村信用社、兑换机构及非金融机构等结汇、售汇业务市场准入、退出审批；</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子项名称：银行合作办理远期结售汇业务市场准入审批；</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审批类别：行政许可。</w:t>
      </w:r>
    </w:p>
    <w:p>
      <w:pPr>
        <w:ind w:firstLine="480" w:firstLineChars="200"/>
        <w:rPr>
          <w:rFonts w:ascii="Times New Roman" w:hAnsi="Times New Roman" w:eastAsia="仿宋_GB2312"/>
          <w:color w:val="auto"/>
          <w:sz w:val="24"/>
          <w:szCs w:val="24"/>
        </w:rPr>
      </w:pPr>
      <w:r>
        <w:rPr>
          <w:rFonts w:hint="eastAsia" w:ascii="黑体" w:hAnsi="黑体" w:eastAsia="黑体"/>
          <w:color w:val="auto"/>
          <w:sz w:val="24"/>
          <w:szCs w:val="24"/>
        </w:rPr>
        <w:t xml:space="preserve">二、适用范围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 xml:space="preserve">本指南适用于“银行、农村信用社、兑换机构及非金融机构等结汇、售汇业务市场准入、退出审批”的申请和办理。 </w:t>
      </w:r>
    </w:p>
    <w:p>
      <w:pPr>
        <w:ind w:firstLine="480" w:firstLineChars="200"/>
        <w:rPr>
          <w:rFonts w:ascii="黑体" w:hAnsi="黑体" w:eastAsia="黑体"/>
          <w:color w:val="auto"/>
          <w:sz w:val="24"/>
          <w:szCs w:val="24"/>
        </w:rPr>
      </w:pPr>
      <w:r>
        <w:rPr>
          <w:rFonts w:hint="eastAsia" w:ascii="黑体" w:hAnsi="黑体" w:eastAsia="黑体"/>
          <w:color w:val="auto"/>
          <w:sz w:val="24"/>
          <w:szCs w:val="24"/>
        </w:rPr>
        <w:t xml:space="preserve">三、设定依据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 xml:space="preserve">（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（二）《中华人民共和国外汇管理条例》（国务院令第532号）第五十三条：“非金融机构经营结汇、售汇业务，应当由国务院外汇管理部门批准，具体管理办法由国务院外汇管理部门另行制定”。</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四、</w:t>
      </w:r>
      <w:r>
        <w:rPr>
          <w:rFonts w:ascii="Times New Roman" w:hAnsi="Times New Roman" w:eastAsia="黑体"/>
          <w:color w:val="auto"/>
          <w:sz w:val="24"/>
          <w:szCs w:val="24"/>
        </w:rPr>
        <w:t xml:space="preserve">办理依据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 xml:space="preserve">《中华人民共和国外汇管理条例》（国务院令第532号）；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（三）</w:t>
      </w:r>
      <w:r>
        <w:rPr>
          <w:rFonts w:ascii="Times New Roman" w:hAnsi="Times New Roman" w:eastAsia="仿宋_GB2312"/>
          <w:color w:val="auto"/>
          <w:sz w:val="24"/>
          <w:szCs w:val="24"/>
        </w:rPr>
        <w:t xml:space="preserve">《国家外汇管理局关于合作办理远期结售汇业务有关问题的通知》（汇发〔2010〕62号）。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五、</w:t>
      </w:r>
      <w:r>
        <w:rPr>
          <w:rFonts w:ascii="Times New Roman" w:hAnsi="Times New Roman" w:eastAsia="黑体"/>
          <w:color w:val="auto"/>
          <w:sz w:val="24"/>
          <w:szCs w:val="24"/>
        </w:rPr>
        <w:t xml:space="preserve">受理机构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申请人应向所在地外汇局提出申请。所在地外汇局是中心支局或支局的，应在受理之日起20个工作日内完成初审并逐级上报国家外汇管理局分局</w:t>
      </w:r>
      <w:r>
        <w:rPr>
          <w:rFonts w:hint="eastAsia" w:ascii="Times New Roman" w:hAnsi="Times New Roman" w:eastAsia="仿宋_GB2312"/>
          <w:color w:val="auto"/>
          <w:sz w:val="24"/>
          <w:szCs w:val="24"/>
        </w:rPr>
        <w:t>。</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六、</w:t>
      </w:r>
      <w:r>
        <w:rPr>
          <w:rFonts w:ascii="Times New Roman" w:hAnsi="Times New Roman" w:eastAsia="黑体"/>
          <w:color w:val="auto"/>
          <w:sz w:val="24"/>
          <w:szCs w:val="24"/>
        </w:rPr>
        <w:t xml:space="preserve">决定机构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申请人所在地国家外汇管理局分局</w:t>
      </w:r>
      <w:r>
        <w:rPr>
          <w:rFonts w:hint="eastAsia" w:ascii="Times New Roman" w:hAnsi="Times New Roman" w:eastAsia="仿宋_GB2312"/>
          <w:color w:val="auto"/>
          <w:sz w:val="24"/>
          <w:szCs w:val="24"/>
        </w:rPr>
        <w:t>。</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七、</w:t>
      </w:r>
      <w:r>
        <w:rPr>
          <w:rFonts w:ascii="Times New Roman" w:hAnsi="Times New Roman" w:eastAsia="黑体"/>
          <w:color w:val="auto"/>
          <w:sz w:val="24"/>
          <w:szCs w:val="24"/>
        </w:rPr>
        <w:t xml:space="preserve">审批数量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无数量限制</w:t>
      </w:r>
      <w:r>
        <w:rPr>
          <w:rFonts w:hint="eastAsia" w:ascii="Times New Roman" w:hAnsi="Times New Roman" w:eastAsia="仿宋_GB2312"/>
          <w:color w:val="auto"/>
          <w:sz w:val="24"/>
          <w:szCs w:val="24"/>
        </w:rPr>
        <w:t>。</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八、</w:t>
      </w:r>
      <w:r>
        <w:rPr>
          <w:rFonts w:ascii="Times New Roman" w:hAnsi="Times New Roman" w:eastAsia="黑体"/>
          <w:color w:val="auto"/>
          <w:sz w:val="24"/>
          <w:szCs w:val="24"/>
        </w:rPr>
        <w:t xml:space="preserve">办事条件 </w:t>
      </w:r>
    </w:p>
    <w:p>
      <w:pPr>
        <w:ind w:firstLine="480" w:firstLineChars="200"/>
        <w:rPr>
          <w:rFonts w:ascii="Times New Roman" w:hAnsi="Times New Roman" w:eastAsia="仿宋_GB2312"/>
          <w:color w:val="auto"/>
          <w:sz w:val="24"/>
          <w:szCs w:val="24"/>
        </w:rPr>
      </w:pPr>
      <w:r>
        <w:rPr>
          <w:rFonts w:ascii="Times New Roman" w:hAnsi="Times New Roman" w:eastAsia="仿宋_GB2312"/>
          <w:color w:val="auto"/>
          <w:sz w:val="24"/>
          <w:szCs w:val="24"/>
        </w:rPr>
        <w:t xml:space="preserve">申请人可为境内银行总行或其分支机构。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境内银行总行需同时符合以下条件：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1.</w:t>
      </w:r>
      <w:r>
        <w:rPr>
          <w:rFonts w:ascii="Times New Roman" w:hAnsi="Times New Roman" w:eastAsia="仿宋_GB2312"/>
          <w:color w:val="auto"/>
          <w:sz w:val="24"/>
          <w:szCs w:val="24"/>
        </w:rPr>
        <w:t xml:space="preserve">具有国家外汇管理局及其分支局核准的即期结售汇业务资格，并已开办即期结售汇业务2年（含）以上；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r>
        <w:rPr>
          <w:rFonts w:ascii="Times New Roman" w:hAnsi="Times New Roman" w:eastAsia="仿宋_GB2312"/>
          <w:color w:val="auto"/>
          <w:sz w:val="24"/>
          <w:szCs w:val="24"/>
        </w:rPr>
        <w:t xml:space="preserve">近2年（含）即期结售汇业务经营中未发生重大违规行为；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3.</w:t>
      </w:r>
      <w:r>
        <w:rPr>
          <w:rFonts w:ascii="Times New Roman" w:hAnsi="Times New Roman" w:eastAsia="仿宋_GB2312"/>
          <w:color w:val="auto"/>
          <w:sz w:val="24"/>
          <w:szCs w:val="24"/>
        </w:rPr>
        <w:t xml:space="preserve">上年度外汇资产季平均余额在等值2000万美元（含）以上；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4.</w:t>
      </w:r>
      <w:r>
        <w:rPr>
          <w:rFonts w:ascii="Times New Roman" w:hAnsi="Times New Roman" w:eastAsia="仿宋_GB2312"/>
          <w:color w:val="auto"/>
          <w:sz w:val="24"/>
          <w:szCs w:val="24"/>
        </w:rPr>
        <w:t xml:space="preserve">近2年执行外汇管理规定情况考核等级为B级（含）以上；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5.</w:t>
      </w:r>
      <w:r>
        <w:rPr>
          <w:rFonts w:ascii="Times New Roman" w:hAnsi="Times New Roman" w:eastAsia="仿宋_GB2312"/>
          <w:color w:val="auto"/>
          <w:sz w:val="24"/>
          <w:szCs w:val="24"/>
        </w:rPr>
        <w:t xml:space="preserve">具有完善的合作办理远期结售汇业务管理制度；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（二）</w:t>
      </w:r>
      <w:r>
        <w:rPr>
          <w:rFonts w:ascii="Times New Roman" w:hAnsi="Times New Roman" w:eastAsia="仿宋_GB2312"/>
          <w:color w:val="auto"/>
          <w:sz w:val="24"/>
          <w:szCs w:val="24"/>
        </w:rPr>
        <w:t>境内银行分支机构需同时符合以下条件：</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1.</w:t>
      </w:r>
      <w:r>
        <w:rPr>
          <w:rFonts w:ascii="Times New Roman" w:hAnsi="Times New Roman" w:eastAsia="仿宋_GB2312"/>
          <w:color w:val="auto"/>
          <w:sz w:val="24"/>
          <w:szCs w:val="24"/>
        </w:rPr>
        <w:t xml:space="preserve">具有国家外汇管理局及其分支局核准的即期结售汇业务资格，并已开办即期结售汇业务2年（含）以上；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r>
        <w:rPr>
          <w:rFonts w:ascii="Times New Roman" w:hAnsi="Times New Roman" w:eastAsia="仿宋_GB2312"/>
          <w:color w:val="auto"/>
          <w:sz w:val="24"/>
          <w:szCs w:val="24"/>
        </w:rPr>
        <w:t xml:space="preserve">近2年（含）即期结售汇业务经营中未发生重大违规行为；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3.</w:t>
      </w:r>
      <w:r>
        <w:rPr>
          <w:rFonts w:ascii="Times New Roman" w:hAnsi="Times New Roman" w:eastAsia="仿宋_GB2312"/>
          <w:color w:val="auto"/>
          <w:sz w:val="24"/>
          <w:szCs w:val="24"/>
        </w:rPr>
        <w:t xml:space="preserve">近2年执行外汇管理规定情况考核等级为B级（含）以上；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4.</w:t>
      </w:r>
      <w:r>
        <w:rPr>
          <w:rFonts w:ascii="Times New Roman" w:hAnsi="Times New Roman" w:eastAsia="仿宋_GB2312"/>
          <w:color w:val="auto"/>
          <w:sz w:val="24"/>
          <w:szCs w:val="24"/>
        </w:rPr>
        <w:t xml:space="preserve">取得其总行（或总社）授权。 </w:t>
      </w:r>
    </w:p>
    <w:p>
      <w:pPr>
        <w:ind w:firstLine="480" w:firstLineChars="200"/>
        <w:rPr>
          <w:rFonts w:ascii="Times New Roman" w:hAnsi="Times New Roman" w:eastAsia="黑体"/>
          <w:color w:val="auto"/>
          <w:sz w:val="24"/>
          <w:szCs w:val="24"/>
        </w:rPr>
      </w:pPr>
      <w:r>
        <w:rPr>
          <w:rFonts w:hint="eastAsia" w:ascii="Times New Roman" w:hAnsi="Times New Roman" w:eastAsia="黑体"/>
          <w:color w:val="auto"/>
          <w:sz w:val="24"/>
          <w:szCs w:val="24"/>
        </w:rPr>
        <w:t>九、</w:t>
      </w:r>
      <w:r>
        <w:rPr>
          <w:rFonts w:ascii="Times New Roman" w:hAnsi="Times New Roman" w:eastAsia="黑体"/>
          <w:color w:val="auto"/>
          <w:sz w:val="24"/>
          <w:szCs w:val="24"/>
        </w:rPr>
        <w:t xml:space="preserve">申请材料 </w:t>
      </w:r>
    </w:p>
    <w:p>
      <w:pPr>
        <w:ind w:firstLine="480" w:firstLineChars="200"/>
        <w:rPr>
          <w:rFonts w:ascii="Times New Roman" w:hAnsi="Times New Roman" w:eastAsia="仿宋_GB2312"/>
          <w:color w:val="auto"/>
          <w:sz w:val="24"/>
          <w:szCs w:val="24"/>
        </w:rPr>
      </w:pPr>
      <w:r>
        <w:rPr>
          <w:rFonts w:hint="eastAsia" w:ascii="Times New Roman" w:hAnsi="Times New Roman" w:eastAsia="仿宋_GB2312"/>
          <w:color w:val="auto"/>
          <w:sz w:val="24"/>
          <w:szCs w:val="24"/>
        </w:rPr>
        <w:t>（一）</w:t>
      </w:r>
      <w:r>
        <w:rPr>
          <w:rFonts w:ascii="Times New Roman" w:hAnsi="Times New Roman" w:eastAsia="仿宋_GB2312"/>
          <w:color w:val="auto"/>
          <w:sz w:val="24"/>
          <w:szCs w:val="24"/>
        </w:rPr>
        <w:t xml:space="preserve">境内银行总行申请材料清单 </w:t>
      </w:r>
    </w:p>
    <w:tbl>
      <w:tblPr>
        <w:tblW w:w="8612"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3"/>
        <w:gridCol w:w="2762"/>
        <w:gridCol w:w="965"/>
        <w:gridCol w:w="438"/>
        <w:gridCol w:w="707"/>
        <w:gridCol w:w="2976"/>
        <w:gridCol w:w="351"/>
      </w:tblGrid>
      <w:tr>
        <w:trPr>
          <w:trHeight w:val="296"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27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4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份数 </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纸质/电子 </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3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258"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27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申请报告 </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644"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27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合作办理远期结售汇业务相关管理制度 </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包括：业务操作规程、内部职责分工、统计报告制度、风险控制措施、会计核算制度等</w:t>
            </w:r>
          </w:p>
        </w:tc>
        <w:tc>
          <w:tcPr>
            <w:tcW w:w="3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568"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3 </w:t>
            </w:r>
          </w:p>
        </w:tc>
        <w:tc>
          <w:tcPr>
            <w:tcW w:w="27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与具备资格银行签订的合作协议书范本，范本中应明确双方的权利和义务 </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208" w:hRule="atLeast"/>
          <w:jc w:val="center"/>
        </w:trPr>
        <w:tc>
          <w:tcPr>
            <w:tcW w:w="41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4 </w:t>
            </w:r>
          </w:p>
        </w:tc>
        <w:tc>
          <w:tcPr>
            <w:tcW w:w="276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上年度4个季度的外汇资产负债表 </w:t>
            </w:r>
          </w:p>
        </w:tc>
        <w:tc>
          <w:tcPr>
            <w:tcW w:w="9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3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bl>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境内银行分支机构申请材料 </w:t>
      </w:r>
    </w:p>
    <w:tbl>
      <w:tblPr>
        <w:tblW w:w="8612"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2"/>
        <w:gridCol w:w="2747"/>
        <w:gridCol w:w="992"/>
        <w:gridCol w:w="426"/>
        <w:gridCol w:w="708"/>
        <w:gridCol w:w="2977"/>
        <w:gridCol w:w="350"/>
      </w:tblGrid>
      <w:tr>
        <w:trPr>
          <w:trHeight w:val="251"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份数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纸质/电子 </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258"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申请报告 </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1128"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合作办理远期结售汇业务相关管理制度 </w:t>
            </w:r>
          </w:p>
          <w:tbl>
            <w:tblPr>
              <w:tblW w:w="3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20"/>
            </w:tblGrid>
            <w:tr>
              <w:trPr>
                <w:trHeight w:val="548" w:hRule="atLeast"/>
              </w:trPr>
              <w:tc>
                <w:tcPr>
                  <w:tcW w:w="3220" w:type="dxa"/>
                  <w:vAlign w:val="top"/>
                </w:tcPr>
                <w:p>
                  <w:pPr>
                    <w:rPr>
                      <w:rFonts w:ascii="Times New Roman" w:hAnsi="Times New Roman" w:eastAsia="仿宋_GB2312"/>
                      <w:color w:val="auto"/>
                      <w:szCs w:val="21"/>
                    </w:rPr>
                  </w:pPr>
                  <w:r>
                    <w:rPr>
                      <w:rFonts w:ascii="Times New Roman" w:hAnsi="Times New Roman" w:eastAsia="仿宋_GB2312"/>
                      <w:color w:val="auto"/>
                      <w:szCs w:val="21"/>
                    </w:rPr>
                    <w:t xml:space="preserve">合作协议书范本，范本中应明确双方的权利和义务 </w:t>
                  </w:r>
                </w:p>
              </w:tc>
            </w:tr>
          </w:tbl>
          <w:p>
            <w:pPr>
              <w:rPr>
                <w:rFonts w:ascii="Times New Roman" w:hAnsi="Times New Roman" w:eastAsia="仿宋_GB2312"/>
                <w:color w:val="auto"/>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包括：业务操作规程、内部职责分工、统计报告制度、风险控制措施、会计核算制度等 </w:t>
            </w: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258"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3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与具备资格银行签订的</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612"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4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总行（或总社）获准合作办理远期结售汇业务备案通知书 </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加盖企业公章的复印件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280" w:hRule="atLeast"/>
          <w:jc w:val="center"/>
        </w:trPr>
        <w:tc>
          <w:tcPr>
            <w:tcW w:w="4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5 </w:t>
            </w:r>
          </w:p>
        </w:tc>
        <w:tc>
          <w:tcPr>
            <w:tcW w:w="27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总行（或总社）的授权文件 </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4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3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bl>
    <w:p>
      <w:pPr>
        <w:spacing w:beforeLines="50"/>
        <w:ind w:firstLine="480" w:firstLineChars="200"/>
        <w:rPr>
          <w:rFonts w:ascii="Times New Roman" w:hAnsi="Times New Roman" w:eastAsia="黑体"/>
          <w:color w:val="auto"/>
          <w:sz w:val="24"/>
        </w:rPr>
      </w:pPr>
      <w:r>
        <w:rPr>
          <w:rFonts w:hint="eastAsia" w:ascii="Times New Roman" w:hAnsi="Times New Roman" w:eastAsia="黑体"/>
          <w:color w:val="auto"/>
          <w:sz w:val="24"/>
        </w:rPr>
        <w:t>十、</w:t>
      </w:r>
      <w:r>
        <w:rPr>
          <w:rFonts w:ascii="Times New Roman" w:hAnsi="Times New Roman" w:eastAsia="黑体"/>
          <w:color w:val="auto"/>
          <w:sz w:val="24"/>
        </w:rPr>
        <w:t xml:space="preserve">申请接受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申请人可通过窗口、邮寄等方式提交材料。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邮寄地址：合肥市滨湖新区洞庭湖路3366号，邮政编码230091。</w:t>
      </w:r>
    </w:p>
    <w:p>
      <w:pPr>
        <w:spacing w:beforeLines="50"/>
        <w:ind w:firstLine="480" w:firstLineChars="200"/>
        <w:rPr>
          <w:rFonts w:ascii="Times New Roman" w:hAnsi="Times New Roman" w:eastAsia="黑体"/>
          <w:color w:val="auto"/>
          <w:sz w:val="24"/>
        </w:rPr>
      </w:pPr>
      <w:r>
        <w:rPr>
          <w:rFonts w:hint="eastAsia" w:ascii="Times New Roman" w:hAnsi="Times New Roman" w:eastAsia="黑体"/>
          <w:color w:val="auto"/>
          <w:sz w:val="24"/>
        </w:rPr>
        <w:t>十一、</w:t>
      </w:r>
      <w:r>
        <w:rPr>
          <w:rFonts w:ascii="Times New Roman" w:hAnsi="Times New Roman" w:eastAsia="黑体"/>
          <w:color w:val="auto"/>
          <w:sz w:val="24"/>
        </w:rPr>
        <w:t xml:space="preserve">基本办理流程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申请人提交申请；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决定是否予以受理；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不予受理的，出具不予受理通知书；受理的，出具受理通知书，进行审查报批；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（四）</w:t>
      </w:r>
      <w:r>
        <w:rPr>
          <w:rFonts w:ascii="Times New Roman" w:hAnsi="Times New Roman" w:eastAsia="仿宋_GB2312"/>
          <w:color w:val="auto"/>
          <w:sz w:val="24"/>
        </w:rPr>
        <w:t xml:space="preserve">不予许可的，出具不予许可通知书。许可的，向申请人出具备案通知书。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（五）</w:t>
      </w:r>
      <w:r>
        <w:rPr>
          <w:rFonts w:ascii="Times New Roman" w:hAnsi="Times New Roman" w:eastAsia="仿宋_GB2312"/>
          <w:color w:val="auto"/>
          <w:sz w:val="24"/>
        </w:rPr>
        <w:t xml:space="preserve">材料不全或不符合法定形式的，一次性告知补正材料，并出具《行政许可补正通知书》。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十二、</w:t>
      </w:r>
      <w:r>
        <w:rPr>
          <w:rFonts w:ascii="Times New Roman" w:hAnsi="Times New Roman" w:eastAsia="黑体"/>
          <w:color w:val="auto"/>
          <w:sz w:val="24"/>
        </w:rPr>
        <w:t xml:space="preserve">办理方式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一般程序：申请、受理、审查、出具备案通知书。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十三、</w:t>
      </w:r>
      <w:r>
        <w:rPr>
          <w:rFonts w:ascii="Times New Roman" w:hAnsi="Times New Roman" w:eastAsia="黑体"/>
          <w:color w:val="auto"/>
          <w:sz w:val="24"/>
        </w:rPr>
        <w:t xml:space="preserve">审批时限 </w:t>
      </w:r>
    </w:p>
    <w:p>
      <w:pPr>
        <w:ind w:firstLine="480" w:firstLineChars="200"/>
        <w:rPr>
          <w:rFonts w:ascii="Times New Roman" w:hAnsi="Times New Roman" w:eastAsia="黑体"/>
          <w:color w:val="auto"/>
          <w:sz w:val="24"/>
        </w:rPr>
      </w:pPr>
      <w:r>
        <w:rPr>
          <w:rFonts w:ascii="Times New Roman" w:hAnsi="Times New Roman" w:eastAsia="仿宋_GB2312"/>
          <w:color w:val="auto"/>
          <w:sz w:val="24"/>
        </w:rPr>
        <w:t>法定时限20个工作日。</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十四、</w:t>
      </w:r>
      <w:r>
        <w:rPr>
          <w:rFonts w:ascii="Times New Roman" w:hAnsi="Times New Roman" w:eastAsia="黑体"/>
          <w:color w:val="auto"/>
          <w:sz w:val="24"/>
        </w:rPr>
        <w:t xml:space="preserve">审批收费依据及标准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不收费。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十五、</w:t>
      </w:r>
      <w:r>
        <w:rPr>
          <w:rFonts w:ascii="Times New Roman" w:hAnsi="Times New Roman" w:eastAsia="黑体"/>
          <w:color w:val="auto"/>
          <w:sz w:val="24"/>
        </w:rPr>
        <w:t xml:space="preserve">审批结果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备案通知书。</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十六、</w:t>
      </w:r>
      <w:r>
        <w:rPr>
          <w:rFonts w:ascii="Times New Roman" w:hAnsi="Times New Roman" w:eastAsia="黑体"/>
          <w:color w:val="auto"/>
          <w:sz w:val="24"/>
        </w:rPr>
        <w:t xml:space="preserve">结果送达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通过现场告知或电话通知申请人，并通过现场领取或邮寄方式将结果送达。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十七、</w:t>
      </w:r>
      <w:r>
        <w:rPr>
          <w:rFonts w:ascii="Times New Roman" w:hAnsi="Times New Roman" w:eastAsia="黑体"/>
          <w:color w:val="auto"/>
          <w:sz w:val="24"/>
        </w:rPr>
        <w:t xml:space="preserve">申请人权利和义务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申请人有权依法提出行政审批申请，依法进行投诉、举报、复议、诉讼等。申请人有义务保证申请材料完整、真实、准确，获批后合法合规办理相关业务。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十八、</w:t>
      </w:r>
      <w:r>
        <w:rPr>
          <w:rFonts w:ascii="Times New Roman" w:hAnsi="Times New Roman" w:eastAsia="黑体"/>
          <w:color w:val="auto"/>
          <w:sz w:val="24"/>
        </w:rPr>
        <w:t xml:space="preserve">事项审查类型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十九、</w:t>
      </w:r>
      <w:r>
        <w:rPr>
          <w:rFonts w:ascii="Times New Roman" w:hAnsi="Times New Roman" w:eastAsia="黑体"/>
          <w:color w:val="auto"/>
          <w:sz w:val="24"/>
        </w:rPr>
        <w:t xml:space="preserve">办公地址和时间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w:t>
      </w:r>
      <w:r>
        <w:rPr>
          <w:rFonts w:ascii="Times New Roman" w:hAnsi="Times New Roman" w:eastAsia="黑体"/>
          <w:color w:val="auto"/>
          <w:sz w:val="24"/>
        </w:rPr>
        <w:t xml:space="preserve">禁止性要求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如符合上述条件，不存在不予许可的情况。 </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二十一、</w:t>
      </w:r>
      <w:r>
        <w:rPr>
          <w:rFonts w:ascii="Times New Roman" w:hAnsi="Times New Roman" w:eastAsia="黑体"/>
          <w:color w:val="auto"/>
          <w:sz w:val="24"/>
        </w:rPr>
        <w:t xml:space="preserve">咨询途径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二十二、</w:t>
      </w:r>
      <w:r>
        <w:rPr>
          <w:rFonts w:ascii="Times New Roman" w:hAnsi="Times New Roman" w:eastAsia="黑体"/>
          <w:color w:val="auto"/>
          <w:sz w:val="24"/>
        </w:rPr>
        <w:t xml:space="preserve">办理进程和结果公开查询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二十三、</w:t>
      </w:r>
      <w:r>
        <w:rPr>
          <w:rFonts w:ascii="Times New Roman" w:hAnsi="Times New Roman" w:eastAsia="黑体"/>
          <w:color w:val="auto"/>
          <w:sz w:val="24"/>
        </w:rPr>
        <w:t>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二十四、</w:t>
      </w:r>
      <w:r>
        <w:rPr>
          <w:rFonts w:ascii="Times New Roman" w:hAnsi="Times New Roman" w:eastAsia="黑体"/>
          <w:color w:val="auto"/>
          <w:sz w:val="24"/>
        </w:rPr>
        <w:t>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无固定格式，但需要根据总行、分行、支行提供不同的材料。</w:t>
      </w:r>
    </w:p>
    <w:p>
      <w:pPr>
        <w:ind w:firstLine="480" w:firstLineChars="200"/>
        <w:rPr>
          <w:rFonts w:ascii="Times New Roman" w:hAnsi="Times New Roman" w:eastAsia="黑体"/>
          <w:color w:val="auto"/>
          <w:sz w:val="24"/>
        </w:rPr>
      </w:pPr>
      <w:r>
        <w:rPr>
          <w:rFonts w:hint="eastAsia" w:ascii="Times New Roman" w:hAnsi="Times New Roman" w:eastAsia="黑体"/>
          <w:color w:val="auto"/>
          <w:sz w:val="24"/>
        </w:rPr>
        <w:t>二十五、</w:t>
      </w:r>
      <w:r>
        <w:rPr>
          <w:rFonts w:ascii="Times New Roman" w:hAnsi="Times New Roman" w:eastAsia="黑体"/>
          <w:color w:val="auto"/>
          <w:sz w:val="24"/>
        </w:rPr>
        <w:t>常见问题解答</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法定时限在20个工作日以内。但办理过程中所需的现场验收等，不计入时限。</w:t>
      </w:r>
    </w:p>
    <w:p>
      <w:pPr>
        <w:ind w:firstLine="480" w:firstLineChars="200"/>
        <w:rPr>
          <w:rFonts w:ascii="Times New Roman" w:hAnsi="Times New Roman" w:eastAsia="仿宋_GB2312"/>
          <w:color w:val="auto"/>
          <w:sz w:val="24"/>
        </w:rPr>
        <w:sectPr>
          <w:pgSz w:w="11849" w:h="16781"/>
          <w:pgMar w:top="1440" w:right="1800" w:bottom="1440" w:left="1800" w:header="720" w:footer="720" w:gutter="0"/>
          <w:pgNumType w:fmt="decimal"/>
          <w:cols w:space="720" w:num="1"/>
        </w:sectPr>
      </w:pPr>
    </w:p>
    <w:p>
      <w:pPr>
        <w:pStyle w:val="2"/>
        <w:ind w:firstLine="0" w:firstLineChars="0"/>
        <w:jc w:val="center"/>
        <w:rPr>
          <w:color w:val="auto"/>
          <w:sz w:val="36"/>
          <w:szCs w:val="36"/>
        </w:rPr>
      </w:pPr>
      <w:bookmarkStart w:id="18" w:name="_Toc21096"/>
      <w:bookmarkStart w:id="19" w:name="_Toc14761"/>
      <w:bookmarkStart w:id="20" w:name="_Toc29442"/>
      <w:r>
        <w:rPr>
          <w:rFonts w:hint="eastAsia"/>
          <w:color w:val="auto"/>
          <w:sz w:val="36"/>
          <w:szCs w:val="36"/>
        </w:rPr>
        <w:t>外国银行分行头寸集中管理审批</w:t>
      </w:r>
      <w:bookmarkEnd w:id="18"/>
      <w:bookmarkEnd w:id="19"/>
      <w:bookmarkEnd w:id="20"/>
    </w:p>
    <w:p>
      <w:pPr>
        <w:ind w:firstLine="480" w:firstLineChars="200"/>
        <w:rPr>
          <w:rFonts w:ascii="黑体" w:hAnsi="黑体" w:eastAsia="黑体"/>
          <w:color w:val="auto"/>
          <w:sz w:val="24"/>
        </w:rPr>
      </w:pPr>
      <w:r>
        <w:rPr>
          <w:rFonts w:hint="eastAsia" w:ascii="黑体" w:hAnsi="黑体" w:eastAsia="黑体"/>
          <w:color w:val="auto"/>
          <w:sz w:val="24"/>
        </w:rPr>
        <w:t>一、项目信息</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项目名称：银行、农村信用社、兑换机构及非金融机构等结汇、售汇业务市场准入、退出审批；</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子项名称：外国银行分行头寸集中管理审批</w:t>
      </w:r>
      <w:r>
        <w:rPr>
          <w:rFonts w:hint="eastAsia" w:ascii="Times New Roman" w:hAnsi="Times New Roman" w:eastAsia="仿宋_GB2312"/>
          <w:color w:val="auto"/>
          <w:sz w:val="24"/>
        </w:rPr>
        <w:t>；</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审批类别：行政许可。</w:t>
      </w:r>
    </w:p>
    <w:p>
      <w:pPr>
        <w:ind w:firstLine="480" w:firstLineChars="200"/>
        <w:rPr>
          <w:rFonts w:ascii="黑体" w:hAnsi="黑体" w:eastAsia="黑体"/>
          <w:color w:val="auto"/>
          <w:sz w:val="24"/>
        </w:rPr>
      </w:pPr>
      <w:r>
        <w:rPr>
          <w:rFonts w:hint="eastAsia" w:ascii="黑体" w:hAnsi="黑体" w:eastAsia="黑体"/>
          <w:color w:val="auto"/>
          <w:sz w:val="24"/>
        </w:rPr>
        <w:t xml:space="preserve">二、适用范围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本指南适用于“银行、农村信用社、兑换机构及非金融机构等结汇、售汇业务市场准入、退出审批”的申请和办理。 </w:t>
      </w:r>
    </w:p>
    <w:p>
      <w:pPr>
        <w:ind w:firstLine="480" w:firstLineChars="200"/>
        <w:rPr>
          <w:rFonts w:ascii="黑体" w:hAnsi="黑体" w:eastAsia="黑体"/>
          <w:color w:val="auto"/>
          <w:sz w:val="24"/>
        </w:rPr>
      </w:pPr>
      <w:r>
        <w:rPr>
          <w:rFonts w:hint="eastAsia" w:ascii="黑体" w:hAnsi="黑体" w:eastAsia="黑体"/>
          <w:color w:val="auto"/>
          <w:sz w:val="24"/>
        </w:rPr>
        <w:t xml:space="preserve">三、设定依据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（二）《中华人民共和国外汇管理条例》（国务院令第532号）第五十三条：“非金融机构经营结汇、售汇业务，应当由国务院外汇管理部门批准，具体管理办法由国务院外汇管理部门另行制定”。</w:t>
      </w:r>
    </w:p>
    <w:p>
      <w:pPr>
        <w:ind w:firstLine="480" w:firstLineChars="200"/>
        <w:rPr>
          <w:rFonts w:ascii="黑体" w:hAnsi="黑体" w:eastAsia="黑体"/>
          <w:color w:val="auto"/>
          <w:sz w:val="24"/>
        </w:rPr>
      </w:pPr>
      <w:r>
        <w:rPr>
          <w:rFonts w:hint="eastAsia" w:ascii="黑体" w:hAnsi="黑体" w:eastAsia="黑体"/>
          <w:color w:val="auto"/>
          <w:sz w:val="24"/>
        </w:rPr>
        <w:t>四、</w:t>
      </w:r>
      <w:r>
        <w:rPr>
          <w:rFonts w:ascii="黑体" w:hAnsi="黑体" w:eastAsia="黑体"/>
          <w:color w:val="auto"/>
          <w:sz w:val="24"/>
        </w:rPr>
        <w:t xml:space="preserve">办理依据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《中华人民共和国外汇管理条例》（国务院令第532号）；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《银行办理结售汇业务管理办法》（中国人民银行令〔2014〕第2号）；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《国家外汇管理局关于印发〈银行办理结售汇业务管理办法实施细则〉的通知》（汇发〔2014〕53号）。 </w:t>
      </w:r>
    </w:p>
    <w:p>
      <w:pPr>
        <w:ind w:firstLine="480" w:firstLineChars="200"/>
        <w:rPr>
          <w:rFonts w:ascii="Times New Roman" w:hAnsi="Times New Roman" w:eastAsia="仿宋_GB2312"/>
          <w:color w:val="auto"/>
          <w:sz w:val="24"/>
        </w:rPr>
      </w:pPr>
      <w:r>
        <w:rPr>
          <w:rFonts w:hint="eastAsia" w:ascii="黑体" w:hAnsi="黑体" w:eastAsia="黑体"/>
          <w:color w:val="auto"/>
          <w:sz w:val="24"/>
        </w:rPr>
        <w:t>五、</w:t>
      </w:r>
      <w:r>
        <w:rPr>
          <w:rFonts w:ascii="黑体" w:hAnsi="黑体" w:eastAsia="黑体"/>
          <w:color w:val="auto"/>
          <w:sz w:val="24"/>
        </w:rPr>
        <w:t>受理机构</w:t>
      </w:r>
      <w:r>
        <w:rPr>
          <w:rFonts w:ascii="Times New Roman" w:hAnsi="Times New Roman" w:eastAsia="仿宋_GB2312"/>
          <w:color w:val="auto"/>
          <w:sz w:val="24"/>
        </w:rPr>
        <w:t xml:space="preserve">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申请人所在地国家外汇管理局分局</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六、</w:t>
      </w:r>
      <w:r>
        <w:rPr>
          <w:rFonts w:ascii="黑体" w:hAnsi="黑体" w:eastAsia="黑体"/>
          <w:color w:val="auto"/>
          <w:sz w:val="24"/>
        </w:rPr>
        <w:t xml:space="preserve">决定机构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申请人所在地国家外汇管理局分局</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七、</w:t>
      </w:r>
      <w:r>
        <w:rPr>
          <w:rFonts w:ascii="黑体" w:hAnsi="黑体" w:eastAsia="黑体"/>
          <w:color w:val="auto"/>
          <w:sz w:val="24"/>
        </w:rPr>
        <w:t xml:space="preserve">审批数量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无数量限制</w:t>
      </w:r>
      <w:r>
        <w:rPr>
          <w:rFonts w:hint="eastAsia" w:ascii="Times New Roman" w:hAnsi="Times New Roman" w:eastAsia="仿宋_GB2312"/>
          <w:color w:val="auto"/>
          <w:sz w:val="24"/>
        </w:rPr>
        <w:t>。</w:t>
      </w:r>
      <w:r>
        <w:rPr>
          <w:rFonts w:ascii="Times New Roman" w:hAnsi="Times New Roman" w:eastAsia="仿宋_GB2312"/>
          <w:color w:val="auto"/>
          <w:sz w:val="24"/>
        </w:rPr>
        <w:t xml:space="preserve"> </w:t>
      </w:r>
    </w:p>
    <w:p>
      <w:pPr>
        <w:ind w:firstLine="480" w:firstLineChars="200"/>
        <w:rPr>
          <w:rFonts w:ascii="黑体" w:hAnsi="黑体" w:eastAsia="黑体"/>
          <w:color w:val="auto"/>
          <w:sz w:val="24"/>
        </w:rPr>
      </w:pPr>
      <w:r>
        <w:rPr>
          <w:rFonts w:hint="eastAsia" w:ascii="黑体" w:hAnsi="黑体" w:eastAsia="黑体"/>
          <w:color w:val="auto"/>
          <w:sz w:val="24"/>
        </w:rPr>
        <w:t>八、</w:t>
      </w:r>
      <w:r>
        <w:rPr>
          <w:rFonts w:ascii="黑体" w:hAnsi="黑体" w:eastAsia="黑体"/>
          <w:color w:val="auto"/>
          <w:sz w:val="24"/>
        </w:rPr>
        <w:t xml:space="preserve">办事条件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申请人为外国银行分行。需同时符合以下条件：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获得其总行或地区总部授权。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具备对头寸实施集中管理的内部管理制度、会计核算办法以及技术支持。</w:t>
      </w:r>
    </w:p>
    <w:p>
      <w:pPr>
        <w:ind w:firstLine="480" w:firstLineChars="200"/>
        <w:rPr>
          <w:rFonts w:ascii="黑体" w:hAnsi="黑体" w:eastAsia="黑体"/>
          <w:color w:val="auto"/>
          <w:sz w:val="24"/>
        </w:rPr>
      </w:pPr>
      <w:r>
        <w:rPr>
          <w:rFonts w:hint="eastAsia" w:ascii="黑体" w:hAnsi="黑体" w:eastAsia="黑体"/>
          <w:color w:val="auto"/>
          <w:sz w:val="24"/>
        </w:rPr>
        <w:t>九、</w:t>
      </w:r>
      <w:r>
        <w:rPr>
          <w:rFonts w:ascii="黑体" w:hAnsi="黑体" w:eastAsia="黑体"/>
          <w:color w:val="auto"/>
          <w:sz w:val="24"/>
        </w:rPr>
        <w:t xml:space="preserve">申请材料 </w:t>
      </w:r>
    </w:p>
    <w:tbl>
      <w:tblPr>
        <w:tblW w:w="8612"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75"/>
        <w:gridCol w:w="2988"/>
        <w:gridCol w:w="1065"/>
        <w:gridCol w:w="889"/>
        <w:gridCol w:w="800"/>
        <w:gridCol w:w="445"/>
        <w:gridCol w:w="1950"/>
      </w:tblGrid>
      <w:tr>
        <w:trPr>
          <w:trHeight w:val="357" w:hRule="atLeast"/>
        </w:trPr>
        <w:tc>
          <w:tcPr>
            <w:tcW w:w="4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29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10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8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份数 </w:t>
            </w:r>
          </w:p>
        </w:tc>
        <w:tc>
          <w:tcPr>
            <w:tcW w:w="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纸质/电子 </w:t>
            </w:r>
          </w:p>
        </w:tc>
        <w:tc>
          <w:tcPr>
            <w:tcW w:w="4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332" w:hRule="atLeast"/>
        </w:trPr>
        <w:tc>
          <w:tcPr>
            <w:tcW w:w="4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29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总行同意实行头寸集中管理的授权文件。 </w:t>
            </w:r>
          </w:p>
        </w:tc>
        <w:tc>
          <w:tcPr>
            <w:tcW w:w="10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8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4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rPr>
          <w:trHeight w:val="547" w:hRule="atLeast"/>
        </w:trPr>
        <w:tc>
          <w:tcPr>
            <w:tcW w:w="4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2 </w:t>
            </w:r>
          </w:p>
        </w:tc>
        <w:tc>
          <w:tcPr>
            <w:tcW w:w="29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银监会对外资金融机构在境内常驻机构批准书。 </w:t>
            </w:r>
          </w:p>
        </w:tc>
        <w:tc>
          <w:tcPr>
            <w:tcW w:w="10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加盖企业公章的复印件 </w:t>
            </w:r>
          </w:p>
        </w:tc>
        <w:tc>
          <w:tcPr>
            <w:tcW w:w="8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4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8" w:hRule="atLeast"/>
        </w:trPr>
        <w:tc>
          <w:tcPr>
            <w:tcW w:w="4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3 </w:t>
            </w:r>
          </w:p>
        </w:tc>
        <w:tc>
          <w:tcPr>
            <w:tcW w:w="2988"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该外国银行对头寸实施集中管理的内部管理制度、会计核算办法以及技术支持情况说明。 </w:t>
            </w:r>
          </w:p>
        </w:tc>
        <w:tc>
          <w:tcPr>
            <w:tcW w:w="106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889"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1 </w:t>
            </w:r>
          </w:p>
        </w:tc>
        <w:tc>
          <w:tcPr>
            <w:tcW w:w="80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纸质 </w:t>
            </w:r>
          </w:p>
        </w:tc>
        <w:tc>
          <w:tcPr>
            <w:tcW w:w="445" w:type="dxa"/>
            <w:vAlign w:val="center"/>
          </w:tcPr>
          <w:p>
            <w:pPr>
              <w:rPr>
                <w:rFonts w:ascii="Times New Roman" w:hAnsi="Times New Roman" w:eastAsia="仿宋_GB2312"/>
                <w:color w:val="auto"/>
                <w:szCs w:val="21"/>
              </w:rPr>
            </w:pPr>
          </w:p>
        </w:tc>
        <w:tc>
          <w:tcPr>
            <w:tcW w:w="195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外汇分局应实地走访集中管理行的营业场地，现场考察和验收其技术系统对该行头寸集中管理的支持情况。</w:t>
            </w:r>
          </w:p>
        </w:tc>
      </w:tr>
    </w:tbl>
    <w:p>
      <w:pPr>
        <w:spacing w:beforeLines="50"/>
        <w:ind w:firstLine="480" w:firstLineChars="200"/>
        <w:rPr>
          <w:rFonts w:ascii="黑体" w:hAnsi="黑体" w:eastAsia="黑体"/>
          <w:color w:val="auto"/>
          <w:sz w:val="24"/>
        </w:rPr>
      </w:pPr>
      <w:r>
        <w:rPr>
          <w:rFonts w:hint="eastAsia" w:ascii="黑体" w:hAnsi="黑体" w:eastAsia="黑体"/>
          <w:color w:val="auto"/>
          <w:sz w:val="24"/>
        </w:rPr>
        <w:t>十、</w:t>
      </w:r>
      <w:r>
        <w:rPr>
          <w:rFonts w:ascii="黑体" w:hAnsi="黑体" w:eastAsia="黑体"/>
          <w:color w:val="auto"/>
          <w:sz w:val="24"/>
        </w:rPr>
        <w:t xml:space="preserve">申请接受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申请人可通过窗口、邮寄等方式提交材料。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邮寄地址：合肥市滨湖新区洞庭湖路3366号，邮政编码230091。</w:t>
      </w:r>
    </w:p>
    <w:p>
      <w:pPr>
        <w:ind w:firstLine="480" w:firstLineChars="200"/>
        <w:rPr>
          <w:rFonts w:ascii="黑体" w:hAnsi="黑体" w:eastAsia="黑体"/>
          <w:color w:val="auto"/>
          <w:sz w:val="24"/>
        </w:rPr>
      </w:pPr>
      <w:r>
        <w:rPr>
          <w:rFonts w:hint="eastAsia" w:ascii="黑体" w:hAnsi="黑体" w:eastAsia="黑体"/>
          <w:color w:val="auto"/>
          <w:sz w:val="24"/>
        </w:rPr>
        <w:t>十一、</w:t>
      </w:r>
      <w:r>
        <w:rPr>
          <w:rFonts w:ascii="黑体" w:hAnsi="黑体" w:eastAsia="黑体"/>
          <w:color w:val="auto"/>
          <w:sz w:val="24"/>
        </w:rPr>
        <w:t xml:space="preserve">基本办理流程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申请人提交申请；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决定是否予以受理；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不予受理的，出具不予受理通知书；受理的，出具受理通知书，进行审查报批；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（四）</w:t>
      </w:r>
      <w:r>
        <w:rPr>
          <w:rFonts w:ascii="Times New Roman" w:hAnsi="Times New Roman" w:eastAsia="仿宋_GB2312"/>
          <w:color w:val="auto"/>
          <w:sz w:val="24"/>
        </w:rPr>
        <w:t xml:space="preserve">不予许可的，出具不予许可通知书。许可的，向申请人出具正式公文。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（五）</w:t>
      </w:r>
      <w:r>
        <w:rPr>
          <w:rFonts w:ascii="Times New Roman" w:hAnsi="Times New Roman" w:eastAsia="仿宋_GB2312"/>
          <w:color w:val="auto"/>
          <w:sz w:val="24"/>
        </w:rPr>
        <w:t xml:space="preserve">材料不全或不符合法定形式的，一次性告知补正材料，并出具《行政许可补正通知书》。 </w:t>
      </w:r>
    </w:p>
    <w:p>
      <w:pPr>
        <w:ind w:firstLine="480" w:firstLineChars="200"/>
        <w:rPr>
          <w:rFonts w:ascii="黑体" w:hAnsi="黑体" w:eastAsia="黑体"/>
          <w:color w:val="auto"/>
          <w:sz w:val="24"/>
        </w:rPr>
      </w:pPr>
      <w:r>
        <w:rPr>
          <w:rFonts w:hint="eastAsia" w:ascii="黑体" w:hAnsi="黑体" w:eastAsia="黑体"/>
          <w:color w:val="auto"/>
          <w:sz w:val="24"/>
        </w:rPr>
        <w:t>十二、</w:t>
      </w:r>
      <w:r>
        <w:rPr>
          <w:rFonts w:ascii="黑体" w:hAnsi="黑体" w:eastAsia="黑体"/>
          <w:color w:val="auto"/>
          <w:sz w:val="24"/>
        </w:rPr>
        <w:t xml:space="preserve">办理方式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一般程序：申请、受理、审查、出具正式公文。 </w:t>
      </w:r>
    </w:p>
    <w:p>
      <w:pPr>
        <w:ind w:firstLine="480" w:firstLineChars="200"/>
        <w:rPr>
          <w:rFonts w:ascii="黑体" w:hAnsi="黑体" w:eastAsia="黑体"/>
          <w:color w:val="auto"/>
          <w:sz w:val="24"/>
        </w:rPr>
      </w:pPr>
      <w:r>
        <w:rPr>
          <w:rFonts w:hint="eastAsia" w:ascii="黑体" w:hAnsi="黑体" w:eastAsia="黑体"/>
          <w:color w:val="auto"/>
          <w:sz w:val="24"/>
        </w:rPr>
        <w:t>十三、</w:t>
      </w:r>
      <w:r>
        <w:rPr>
          <w:rFonts w:ascii="黑体" w:hAnsi="黑体" w:eastAsia="黑体"/>
          <w:color w:val="auto"/>
          <w:sz w:val="24"/>
        </w:rPr>
        <w:t xml:space="preserve">审批时限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法定时限20个工作日。</w:t>
      </w:r>
    </w:p>
    <w:p>
      <w:pPr>
        <w:ind w:firstLine="480" w:firstLineChars="200"/>
        <w:rPr>
          <w:rFonts w:ascii="黑体" w:hAnsi="黑体" w:eastAsia="黑体"/>
          <w:color w:val="auto"/>
          <w:sz w:val="24"/>
        </w:rPr>
      </w:pPr>
      <w:r>
        <w:rPr>
          <w:rFonts w:hint="eastAsia" w:ascii="黑体" w:hAnsi="黑体" w:eastAsia="黑体"/>
          <w:color w:val="auto"/>
          <w:sz w:val="24"/>
        </w:rPr>
        <w:t>十四、</w:t>
      </w:r>
      <w:r>
        <w:rPr>
          <w:rFonts w:ascii="黑体" w:hAnsi="黑体" w:eastAsia="黑体"/>
          <w:color w:val="auto"/>
          <w:sz w:val="24"/>
        </w:rPr>
        <w:t xml:space="preserve">审批收费依据及标准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不收费。 </w:t>
      </w:r>
    </w:p>
    <w:p>
      <w:pPr>
        <w:ind w:firstLine="480" w:firstLineChars="200"/>
        <w:rPr>
          <w:rFonts w:ascii="黑体" w:hAnsi="黑体" w:eastAsia="黑体"/>
          <w:color w:val="auto"/>
          <w:sz w:val="24"/>
        </w:rPr>
      </w:pPr>
      <w:r>
        <w:rPr>
          <w:rFonts w:hint="eastAsia" w:ascii="黑体" w:hAnsi="黑体" w:eastAsia="黑体"/>
          <w:color w:val="auto"/>
          <w:sz w:val="24"/>
        </w:rPr>
        <w:t>十五、</w:t>
      </w:r>
      <w:r>
        <w:rPr>
          <w:rFonts w:ascii="黑体" w:hAnsi="黑体" w:eastAsia="黑体"/>
          <w:color w:val="auto"/>
          <w:sz w:val="24"/>
        </w:rPr>
        <w:t xml:space="preserve">审批结果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正式公文。 </w:t>
      </w:r>
    </w:p>
    <w:p>
      <w:pPr>
        <w:ind w:firstLine="480" w:firstLineChars="200"/>
        <w:rPr>
          <w:rFonts w:ascii="黑体" w:hAnsi="黑体" w:eastAsia="黑体"/>
          <w:color w:val="auto"/>
          <w:sz w:val="24"/>
        </w:rPr>
      </w:pPr>
      <w:r>
        <w:rPr>
          <w:rFonts w:hint="eastAsia" w:ascii="黑体" w:hAnsi="黑体" w:eastAsia="黑体"/>
          <w:color w:val="auto"/>
          <w:sz w:val="24"/>
        </w:rPr>
        <w:t>十六、</w:t>
      </w:r>
      <w:r>
        <w:rPr>
          <w:rFonts w:ascii="黑体" w:hAnsi="黑体" w:eastAsia="黑体"/>
          <w:color w:val="auto"/>
          <w:sz w:val="24"/>
        </w:rPr>
        <w:t>结果送达</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通过现场告知或电话通知申请人，并通过现场领取或邮寄方式将结果送达。 </w:t>
      </w:r>
    </w:p>
    <w:p>
      <w:pPr>
        <w:ind w:firstLine="480" w:firstLineChars="200"/>
        <w:rPr>
          <w:rFonts w:ascii="黑体" w:hAnsi="黑体" w:eastAsia="黑体"/>
          <w:color w:val="auto"/>
          <w:sz w:val="24"/>
        </w:rPr>
      </w:pPr>
      <w:r>
        <w:rPr>
          <w:rFonts w:hint="eastAsia" w:ascii="黑体" w:hAnsi="黑体" w:eastAsia="黑体"/>
          <w:color w:val="auto"/>
          <w:sz w:val="24"/>
        </w:rPr>
        <w:t>十七、</w:t>
      </w:r>
      <w:r>
        <w:rPr>
          <w:rFonts w:ascii="黑体" w:hAnsi="黑体" w:eastAsia="黑体"/>
          <w:color w:val="auto"/>
          <w:sz w:val="24"/>
        </w:rPr>
        <w:t xml:space="preserve">申请人权利和义务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申请人有权依法提出行政审批申请，依法进行投诉、举报、复议、诉讼等。申请人有义务保证申请材料完整、真实、准确，获批后合法合规办理相关业务。 </w:t>
      </w:r>
    </w:p>
    <w:p>
      <w:pPr>
        <w:ind w:firstLine="480" w:firstLineChars="200"/>
        <w:rPr>
          <w:rFonts w:ascii="黑体" w:hAnsi="黑体" w:eastAsia="黑体"/>
          <w:color w:val="auto"/>
          <w:sz w:val="24"/>
        </w:rPr>
      </w:pPr>
      <w:r>
        <w:rPr>
          <w:rFonts w:hint="eastAsia" w:ascii="黑体" w:hAnsi="黑体" w:eastAsia="黑体"/>
          <w:color w:val="auto"/>
          <w:sz w:val="24"/>
        </w:rPr>
        <w:t>十八、</w:t>
      </w:r>
      <w:r>
        <w:rPr>
          <w:rFonts w:ascii="黑体" w:hAnsi="黑体" w:eastAsia="黑体"/>
          <w:color w:val="auto"/>
          <w:sz w:val="24"/>
        </w:rPr>
        <w:t xml:space="preserve">事项审查类型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十九、</w:t>
      </w:r>
      <w:r>
        <w:rPr>
          <w:rFonts w:ascii="黑体" w:hAnsi="黑体" w:eastAsia="黑体"/>
          <w:color w:val="auto"/>
          <w:sz w:val="24"/>
        </w:rPr>
        <w:t xml:space="preserve">办公地址和时间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黑体" w:hAnsi="黑体" w:eastAsia="黑体"/>
          <w:color w:val="auto"/>
          <w:sz w:val="24"/>
        </w:rPr>
      </w:pPr>
      <w:r>
        <w:rPr>
          <w:rFonts w:hint="eastAsia" w:ascii="黑体" w:hAnsi="黑体" w:eastAsia="黑体"/>
          <w:color w:val="auto"/>
          <w:sz w:val="24"/>
        </w:rPr>
        <w:t>二十、</w:t>
      </w:r>
      <w:r>
        <w:rPr>
          <w:rFonts w:ascii="黑体" w:hAnsi="黑体" w:eastAsia="黑体"/>
          <w:color w:val="auto"/>
          <w:sz w:val="24"/>
        </w:rPr>
        <w:t xml:space="preserve">禁止性要求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如符合上述条件，不存在不予许可的情况。 </w:t>
      </w:r>
    </w:p>
    <w:p>
      <w:pPr>
        <w:ind w:firstLine="480" w:firstLineChars="200"/>
        <w:rPr>
          <w:rFonts w:ascii="黑体" w:hAnsi="黑体" w:eastAsia="黑体"/>
          <w:color w:val="auto"/>
          <w:sz w:val="24"/>
        </w:rPr>
      </w:pPr>
      <w:r>
        <w:rPr>
          <w:rFonts w:hint="eastAsia" w:ascii="黑体" w:hAnsi="黑体" w:eastAsia="黑体"/>
          <w:color w:val="auto"/>
          <w:sz w:val="24"/>
        </w:rPr>
        <w:t>二十一、</w:t>
      </w:r>
      <w:r>
        <w:rPr>
          <w:rFonts w:ascii="黑体" w:hAnsi="黑体" w:eastAsia="黑体"/>
          <w:color w:val="auto"/>
          <w:sz w:val="24"/>
        </w:rPr>
        <w:t xml:space="preserve">咨询途径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二十二、</w:t>
      </w:r>
      <w:r>
        <w:rPr>
          <w:rFonts w:ascii="黑体" w:hAnsi="黑体" w:eastAsia="黑体"/>
          <w:color w:val="auto"/>
          <w:sz w:val="24"/>
        </w:rPr>
        <w:t xml:space="preserve">办理进程和结果公开查询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二十三、</w:t>
      </w:r>
      <w:r>
        <w:rPr>
          <w:rFonts w:ascii="黑体" w:hAnsi="黑体" w:eastAsia="黑体"/>
          <w:color w:val="auto"/>
          <w:sz w:val="24"/>
        </w:rPr>
        <w:t>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二十四、</w:t>
      </w:r>
      <w:r>
        <w:rPr>
          <w:rFonts w:ascii="黑体" w:hAnsi="黑体" w:eastAsia="黑体"/>
          <w:color w:val="auto"/>
          <w:sz w:val="24"/>
        </w:rPr>
        <w:t>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无固定格式，但需要根据总行、分行、支行提供不同的材料。</w:t>
      </w:r>
    </w:p>
    <w:p>
      <w:pPr>
        <w:ind w:firstLine="480" w:firstLineChars="200"/>
        <w:rPr>
          <w:rFonts w:ascii="黑体" w:hAnsi="黑体" w:eastAsia="黑体"/>
          <w:color w:val="auto"/>
          <w:sz w:val="24"/>
        </w:rPr>
      </w:pPr>
      <w:r>
        <w:rPr>
          <w:rFonts w:hint="eastAsia" w:ascii="黑体" w:hAnsi="黑体" w:eastAsia="黑体"/>
          <w:color w:val="auto"/>
          <w:sz w:val="24"/>
        </w:rPr>
        <w:t>二十五、</w:t>
      </w:r>
      <w:r>
        <w:rPr>
          <w:rFonts w:ascii="黑体" w:hAnsi="黑体" w:eastAsia="黑体"/>
          <w:color w:val="auto"/>
          <w:sz w:val="24"/>
        </w:rPr>
        <w:t>常见问题解答</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法定时限在20个工作日以内。办理过程中所需的现场验收等，不计入时限。</w:t>
      </w:r>
    </w:p>
    <w:p>
      <w:pPr>
        <w:spacing w:line="360" w:lineRule="auto"/>
        <w:rPr>
          <w:rFonts w:ascii="Times New Roman" w:hAnsi="Times New Roman" w:eastAsia="仿宋_GB2312"/>
          <w:color w:val="auto"/>
          <w:sz w:val="24"/>
        </w:rPr>
      </w:pPr>
    </w:p>
    <w:p>
      <w:pPr>
        <w:pStyle w:val="2"/>
        <w:ind w:firstLine="0" w:firstLineChars="0"/>
        <w:jc w:val="center"/>
        <w:rPr>
          <w:color w:val="auto"/>
          <w:sz w:val="36"/>
        </w:rPr>
      </w:pPr>
      <w:bookmarkStart w:id="21" w:name="_Toc19573"/>
      <w:bookmarkStart w:id="22" w:name="_Toc9451"/>
      <w:bookmarkStart w:id="23" w:name="_Toc5819"/>
      <w:r>
        <w:rPr>
          <w:rFonts w:hint="eastAsia"/>
          <w:color w:val="auto"/>
          <w:sz w:val="36"/>
        </w:rPr>
        <w:t>个人本外币兑换特许业务市场准入审批</w:t>
      </w:r>
      <w:bookmarkEnd w:id="21"/>
      <w:bookmarkEnd w:id="22"/>
      <w:bookmarkEnd w:id="23"/>
    </w:p>
    <w:p>
      <w:pPr>
        <w:ind w:firstLine="480" w:firstLineChars="200"/>
        <w:rPr>
          <w:rFonts w:ascii="黑体" w:hAnsi="黑体" w:eastAsia="黑体"/>
          <w:color w:val="auto"/>
          <w:sz w:val="24"/>
        </w:rPr>
      </w:pPr>
      <w:r>
        <w:rPr>
          <w:rFonts w:hint="eastAsia" w:ascii="黑体" w:hAnsi="黑体" w:eastAsia="黑体"/>
          <w:color w:val="auto"/>
          <w:sz w:val="24"/>
        </w:rPr>
        <w:t>一、项目信息</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项目名称：银行、农村信用社、兑换机构及非金融机构等结汇、售汇业务市场准入、退出审批；</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子项名称：个人本外币兑换特许业务市场准入审批；</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审批类别：行政许可。</w:t>
      </w:r>
    </w:p>
    <w:p>
      <w:pPr>
        <w:ind w:firstLine="480" w:firstLineChars="200"/>
        <w:rPr>
          <w:rFonts w:ascii="Times New Roman" w:hAnsi="Times New Roman" w:eastAsia="仿宋_GB2312"/>
          <w:color w:val="auto"/>
          <w:sz w:val="24"/>
        </w:rPr>
      </w:pPr>
      <w:r>
        <w:rPr>
          <w:rFonts w:hint="eastAsia" w:ascii="黑体" w:hAnsi="黑体" w:eastAsia="黑体"/>
          <w:color w:val="auto"/>
          <w:sz w:val="24"/>
        </w:rPr>
        <w:t xml:space="preserve">二、办理依据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1.《中华人民共和国外汇管理条例》（国务院令第532号）；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2.《国家外汇管理局关于印发〈个人本外币兑换特许业务试点管理办法〉的通知》（汇发〔2012〕27号）。 </w:t>
      </w:r>
    </w:p>
    <w:p>
      <w:pPr>
        <w:ind w:firstLine="480" w:firstLineChars="200"/>
        <w:rPr>
          <w:rFonts w:ascii="黑体" w:hAnsi="黑体" w:eastAsia="黑体"/>
          <w:color w:val="auto"/>
          <w:sz w:val="24"/>
        </w:rPr>
      </w:pPr>
      <w:r>
        <w:rPr>
          <w:rFonts w:hint="eastAsia" w:ascii="黑体" w:hAnsi="黑体" w:eastAsia="黑体"/>
          <w:color w:val="auto"/>
          <w:sz w:val="24"/>
        </w:rPr>
        <w:t xml:space="preserve">三、受理机构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 xml:space="preserve">四、决定机构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 xml:space="preserve">五、审批数量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无数量限制。 </w:t>
      </w:r>
    </w:p>
    <w:p>
      <w:pPr>
        <w:ind w:firstLine="480" w:firstLineChars="200"/>
        <w:rPr>
          <w:rFonts w:ascii="黑体" w:hAnsi="黑体" w:eastAsia="黑体"/>
          <w:color w:val="auto"/>
          <w:sz w:val="24"/>
        </w:rPr>
      </w:pPr>
      <w:r>
        <w:rPr>
          <w:rFonts w:hint="eastAsia" w:ascii="黑体" w:hAnsi="黑体" w:eastAsia="黑体"/>
          <w:color w:val="auto"/>
          <w:sz w:val="24"/>
        </w:rPr>
        <w:t xml:space="preserve">六、办事条件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申请人条件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1.</w:t>
      </w:r>
      <w:r>
        <w:rPr>
          <w:rFonts w:ascii="Times New Roman" w:hAnsi="Times New Roman" w:eastAsia="仿宋_GB2312"/>
          <w:color w:val="auto"/>
          <w:sz w:val="24"/>
        </w:rPr>
        <w:t xml:space="preserve">境内非金融机构申请在单一外汇分局所辖地区内经营特许业务，应具备以下条件：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（1）</w:t>
      </w:r>
      <w:r>
        <w:rPr>
          <w:rFonts w:ascii="Times New Roman" w:hAnsi="Times New Roman" w:eastAsia="仿宋_GB2312"/>
          <w:color w:val="auto"/>
          <w:sz w:val="24"/>
        </w:rPr>
        <w:t xml:space="preserve">具有独立法人资格；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（2）</w:t>
      </w:r>
      <w:r>
        <w:rPr>
          <w:rFonts w:ascii="Times New Roman" w:hAnsi="Times New Roman" w:eastAsia="仿宋_GB2312"/>
          <w:color w:val="auto"/>
          <w:sz w:val="24"/>
        </w:rPr>
        <w:t xml:space="preserve">企业资信状况良好；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（3）</w:t>
      </w:r>
      <w:r>
        <w:rPr>
          <w:rFonts w:ascii="Times New Roman" w:hAnsi="Times New Roman" w:eastAsia="仿宋_GB2312"/>
          <w:color w:val="auto"/>
          <w:sz w:val="24"/>
        </w:rPr>
        <w:t xml:space="preserve">有符合任职资格条件的高级管理人员；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（4）</w:t>
      </w:r>
      <w:r>
        <w:rPr>
          <w:rFonts w:ascii="Times New Roman" w:hAnsi="Times New Roman" w:eastAsia="仿宋_GB2312"/>
          <w:color w:val="auto"/>
          <w:sz w:val="24"/>
        </w:rPr>
        <w:t xml:space="preserve">有具备相应专业知识和从业经验的工作人员；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（5）</w:t>
      </w:r>
      <w:r>
        <w:rPr>
          <w:rFonts w:ascii="Times New Roman" w:hAnsi="Times New Roman" w:eastAsia="仿宋_GB2312"/>
          <w:color w:val="auto"/>
          <w:sz w:val="24"/>
        </w:rPr>
        <w:t xml:space="preserve">有固定的适合经营特许业务的场所，安全防范措施以及相应的软硬件设施；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（6）</w:t>
      </w:r>
      <w:r>
        <w:rPr>
          <w:rFonts w:ascii="Times New Roman" w:hAnsi="Times New Roman" w:eastAsia="仿宋_GB2312"/>
          <w:color w:val="auto"/>
          <w:sz w:val="24"/>
        </w:rPr>
        <w:t>有必需的管理制度；</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（7）</w:t>
      </w:r>
      <w:r>
        <w:rPr>
          <w:rFonts w:ascii="Times New Roman" w:hAnsi="Times New Roman" w:eastAsia="仿宋_GB2312"/>
          <w:color w:val="auto"/>
          <w:sz w:val="24"/>
        </w:rPr>
        <w:t xml:space="preserve">经营外币代兑业务6个月以上，在申请经营特许业务资格前6个月内办理代兑业务不少于1000笔、兑换金额不少于等值20万美元，且期间未被外汇局处罚；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（8）</w:t>
      </w:r>
      <w:r>
        <w:rPr>
          <w:rFonts w:ascii="Times New Roman" w:hAnsi="Times New Roman" w:eastAsia="仿宋_GB2312"/>
          <w:color w:val="auto"/>
          <w:sz w:val="24"/>
        </w:rPr>
        <w:t xml:space="preserve">满足接入个人结售汇系统的技术条件；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（9）</w:t>
      </w:r>
      <w:r>
        <w:rPr>
          <w:rFonts w:ascii="Times New Roman" w:hAnsi="Times New Roman" w:eastAsia="仿宋_GB2312"/>
          <w:color w:val="auto"/>
          <w:sz w:val="24"/>
        </w:rPr>
        <w:t xml:space="preserve">外汇局要求的其他条件。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2.</w:t>
      </w:r>
      <w:r>
        <w:rPr>
          <w:rFonts w:ascii="Times New Roman" w:hAnsi="Times New Roman" w:eastAsia="仿宋_GB2312"/>
          <w:color w:val="auto"/>
          <w:sz w:val="24"/>
        </w:rPr>
        <w:t xml:space="preserve">特许机构申请在全国范围内经营特许业务，应具备以下条件：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（1）</w:t>
      </w:r>
      <w:r>
        <w:rPr>
          <w:rFonts w:ascii="Times New Roman" w:hAnsi="Times New Roman" w:eastAsia="仿宋_GB2312"/>
          <w:color w:val="auto"/>
          <w:sz w:val="24"/>
        </w:rPr>
        <w:t xml:space="preserve">经营特许业务1年以上，开设网点5家（含）以上，在申请前12个月内兑换金额不少于等值1000万美元，且期间未被外汇局处罚；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（2）</w:t>
      </w:r>
      <w:r>
        <w:rPr>
          <w:rFonts w:ascii="Times New Roman" w:hAnsi="Times New Roman" w:eastAsia="仿宋_GB2312"/>
          <w:color w:val="auto"/>
          <w:sz w:val="24"/>
        </w:rPr>
        <w:t xml:space="preserve">具备总部集中管理能力，能统一进行会计核算，管理全系统资本金或营运资金、备付金、业务数据等；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（3）</w:t>
      </w:r>
      <w:r>
        <w:rPr>
          <w:rFonts w:ascii="Times New Roman" w:hAnsi="Times New Roman" w:eastAsia="仿宋_GB2312"/>
          <w:color w:val="auto"/>
          <w:sz w:val="24"/>
        </w:rPr>
        <w:t xml:space="preserve">外汇局要求的其他条件。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符合上述条件的，准予批准。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有如下情形之一的，不予批准：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1.</w:t>
      </w:r>
      <w:r>
        <w:rPr>
          <w:rFonts w:ascii="Times New Roman" w:hAnsi="Times New Roman" w:eastAsia="仿宋_GB2312"/>
          <w:color w:val="auto"/>
          <w:sz w:val="24"/>
        </w:rPr>
        <w:t xml:space="preserve">非金融机构申请特许业务经营资格未获批准的，自收到不予批准决定之日起1年内不得再次申请；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2.</w:t>
      </w:r>
      <w:r>
        <w:rPr>
          <w:rFonts w:ascii="Times New Roman" w:hAnsi="Times New Roman" w:eastAsia="仿宋_GB2312"/>
          <w:color w:val="auto"/>
          <w:sz w:val="24"/>
        </w:rPr>
        <w:t xml:space="preserve">除不可抗力因素外，筹备期内未能申请开办业务或申请开办业务获准后未能按期开办业务的，自截止日起2年内不得再次申请。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3.</w:t>
      </w:r>
      <w:r>
        <w:rPr>
          <w:rFonts w:ascii="Times New Roman" w:hAnsi="Times New Roman" w:eastAsia="仿宋_GB2312"/>
          <w:color w:val="auto"/>
          <w:sz w:val="24"/>
        </w:rPr>
        <w:t xml:space="preserve">申请开办业务获准后未能按期开办业务且未向所在地外汇局缴销兑换特许证的，自截止日起3年内不得再次申请。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4.</w:t>
      </w:r>
      <w:r>
        <w:rPr>
          <w:rFonts w:ascii="Times New Roman" w:hAnsi="Times New Roman" w:eastAsia="仿宋_GB2312"/>
          <w:color w:val="auto"/>
          <w:sz w:val="24"/>
        </w:rPr>
        <w:t>特许机构主动终止或被外汇局终止特许业务经营资格并注销兑换特许证的，自注销之日起3年内不得再次申请特许业务经营资格。</w:t>
      </w:r>
    </w:p>
    <w:p>
      <w:pPr>
        <w:ind w:firstLine="480" w:firstLineChars="200"/>
        <w:rPr>
          <w:rFonts w:ascii="黑体" w:hAnsi="黑体" w:eastAsia="黑体"/>
          <w:color w:val="auto"/>
          <w:sz w:val="24"/>
        </w:rPr>
      </w:pPr>
      <w:r>
        <w:rPr>
          <w:rFonts w:hint="eastAsia" w:ascii="黑体" w:hAnsi="黑体" w:eastAsia="黑体"/>
          <w:color w:val="auto"/>
          <w:sz w:val="24"/>
        </w:rPr>
        <w:t>七、申请材料</w:t>
      </w:r>
    </w:p>
    <w:tbl>
      <w:tblPr>
        <w:tblW w:w="861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6"/>
        <w:gridCol w:w="5887"/>
        <w:gridCol w:w="675"/>
        <w:gridCol w:w="280"/>
        <w:gridCol w:w="503"/>
        <w:gridCol w:w="279"/>
        <w:gridCol w:w="522"/>
      </w:tblGrid>
      <w:tr>
        <w:trPr>
          <w:trHeight w:val="688"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序号 </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提交材料名称 </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原件/复印件 </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份数</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纸质/电子</w:t>
            </w:r>
          </w:p>
        </w:tc>
        <w:tc>
          <w:tcPr>
            <w:tcW w:w="279"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要求 </w:t>
            </w:r>
          </w:p>
        </w:tc>
        <w:tc>
          <w:tcPr>
            <w:tcW w:w="522"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备注 </w:t>
            </w:r>
          </w:p>
        </w:tc>
      </w:tr>
      <w:tr>
        <w:trPr>
          <w:trHeight w:val="1335"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申请报告</w:t>
            </w:r>
          </w:p>
          <w:p>
            <w:pPr>
              <w:rPr>
                <w:rFonts w:ascii="Times New Roman" w:hAnsi="Times New Roman" w:eastAsia="仿宋_GB2312"/>
                <w:color w:val="auto"/>
                <w:szCs w:val="21"/>
              </w:rPr>
            </w:pPr>
            <w:r>
              <w:rPr>
                <w:rFonts w:ascii="Times New Roman" w:hAnsi="Times New Roman" w:eastAsia="仿宋_GB2312"/>
                <w:color w:val="auto"/>
                <w:szCs w:val="21"/>
              </w:rPr>
              <w:t>内容包括但不限于：1.申请事由及原因；</w:t>
            </w:r>
          </w:p>
          <w:p>
            <w:pPr>
              <w:rPr>
                <w:rFonts w:ascii="Times New Roman" w:hAnsi="Times New Roman" w:eastAsia="仿宋_GB2312"/>
                <w:color w:val="auto"/>
                <w:szCs w:val="21"/>
              </w:rPr>
            </w:pPr>
            <w:r>
              <w:rPr>
                <w:rFonts w:ascii="Times New Roman" w:hAnsi="Times New Roman" w:eastAsia="仿宋_GB2312"/>
                <w:color w:val="auto"/>
                <w:szCs w:val="21"/>
              </w:rPr>
              <w:t>2.申请新增网点的名称和经营地址；3.申请新增网点具备筹备经营个人本外币兑换特许业务条件的情况说明。</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 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restart"/>
            <w:vAlign w:val="center"/>
          </w:tcPr>
          <w:p>
            <w:pPr>
              <w:rPr>
                <w:rFonts w:ascii="Times New Roman" w:hAnsi="Times New Roman" w:eastAsia="仿宋_GB2312"/>
                <w:color w:val="auto"/>
                <w:szCs w:val="21"/>
              </w:rPr>
            </w:pPr>
            <w:r>
              <w:rPr>
                <w:rFonts w:ascii="Times New Roman" w:hAnsi="Times New Roman" w:eastAsia="仿宋_GB2312"/>
                <w:color w:val="auto"/>
                <w:szCs w:val="21"/>
              </w:rPr>
              <w:t>申请在单一外汇分局所辖地区开办业务进入筹备期所需材料</w:t>
            </w:r>
          </w:p>
        </w:tc>
      </w:tr>
      <w:tr>
        <w:trPr>
          <w:trHeight w:val="419"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2</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筹备工作方案及相关人员名单、简历</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416"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3</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上年度经审计的会计报告</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542"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4</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不少于2名拟任职的高级管理人员资历的证明材料（大学本科以上学历、从事相关经济工作5年以上）</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424"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5</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每一网点不少于2名工作人员资历的证明材料（从事货币兑换工作6个月以上，熟悉相关外汇管理政策）</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696"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6</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个人本外币兑换特许业务系统（以下简称特许系统）的说明材料，特许系统应具备实时办理兑换业务、备付金管理、会计核算、汇总统计、存储相关记录的功能，以及遵照个人结售汇相关规定对超限额及分拆等行为予以风险提示的功能</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564"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7</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适合从事特许业务的经营场所及其他软硬件设施的说明材料，包括但不限于：营业场所基本情况，以醒目中英文双语显示方式展示兑换币种和牌价的设备，办理特许业务所需电脑、数据库设备及其他软硬件设施，能够完整记录经营活动的高清录像监控设备等</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原件 </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855"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8</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经营外币代兑业务6个月以上的总结报告及在申请前6个月内办理代兑业务达到最低兑换金额和兑换笔数标准的证明材料</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538"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9</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相关管理制度，包括但不限于：特许系统操作规程，个人结售汇系统操作规程，外币兑换牌价管理、备付金管理、现钞管理、会计核算、统计报告、风险及相应内控管理、凭证和档案印章管理等制度</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097"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10</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 xml:space="preserve">申请报告 </w:t>
            </w:r>
          </w:p>
          <w:p>
            <w:pPr>
              <w:rPr>
                <w:rFonts w:ascii="Times New Roman" w:hAnsi="Times New Roman" w:eastAsia="仿宋_GB2312"/>
                <w:color w:val="auto"/>
                <w:szCs w:val="21"/>
              </w:rPr>
            </w:pPr>
            <w:r>
              <w:rPr>
                <w:rFonts w:ascii="Times New Roman" w:hAnsi="Times New Roman" w:eastAsia="仿宋_GB2312"/>
                <w:color w:val="auto"/>
                <w:szCs w:val="21"/>
              </w:rPr>
              <w:t xml:space="preserve">内容包括但不限于：1.申请事由及原因； </w:t>
            </w:r>
          </w:p>
          <w:p>
            <w:pPr>
              <w:rPr>
                <w:rFonts w:ascii="Times New Roman" w:hAnsi="Times New Roman" w:eastAsia="仿宋_GB2312"/>
                <w:color w:val="auto"/>
                <w:szCs w:val="21"/>
              </w:rPr>
            </w:pPr>
            <w:r>
              <w:rPr>
                <w:rFonts w:ascii="Times New Roman" w:hAnsi="Times New Roman" w:eastAsia="仿宋_GB2312"/>
                <w:color w:val="auto"/>
                <w:szCs w:val="21"/>
              </w:rPr>
              <w:t>2.申请新增网点的名称和经营地址；3.申请新增网点具备开办经营个人本外币兑换特许业务条件的情况说明。</w:t>
            </w:r>
          </w:p>
        </w:tc>
        <w:tc>
          <w:tcPr>
            <w:tcW w:w="675" w:type="dxa"/>
            <w:vAlign w:val="center"/>
          </w:tcPr>
          <w:p>
            <w:pPr>
              <w:rPr>
                <w:rFonts w:ascii="Times New Roman" w:hAnsi="Times New Roman" w:eastAsia="仿宋_GB2312"/>
                <w:color w:val="auto"/>
                <w:szCs w:val="21"/>
              </w:rPr>
            </w:pPr>
          </w:p>
        </w:tc>
        <w:tc>
          <w:tcPr>
            <w:tcW w:w="280" w:type="dxa"/>
            <w:vAlign w:val="center"/>
          </w:tcPr>
          <w:p>
            <w:pPr>
              <w:rPr>
                <w:rFonts w:ascii="Times New Roman" w:hAnsi="Times New Roman" w:eastAsia="仿宋_GB2312"/>
                <w:color w:val="auto"/>
                <w:szCs w:val="21"/>
              </w:rPr>
            </w:pPr>
          </w:p>
        </w:tc>
        <w:tc>
          <w:tcPr>
            <w:tcW w:w="503" w:type="dxa"/>
            <w:vAlign w:val="center"/>
          </w:tcPr>
          <w:p>
            <w:pPr>
              <w:rPr>
                <w:rFonts w:ascii="Times New Roman" w:hAnsi="Times New Roman" w:eastAsia="仿宋_GB2312"/>
                <w:color w:val="auto"/>
                <w:szCs w:val="21"/>
              </w:rPr>
            </w:pPr>
          </w:p>
        </w:tc>
        <w:tc>
          <w:tcPr>
            <w:tcW w:w="279" w:type="dxa"/>
            <w:vAlign w:val="center"/>
          </w:tcPr>
          <w:p>
            <w:pPr>
              <w:rPr>
                <w:rFonts w:ascii="Times New Roman" w:hAnsi="Times New Roman" w:eastAsia="仿宋_GB2312"/>
                <w:color w:val="auto"/>
                <w:szCs w:val="21"/>
              </w:rPr>
            </w:pPr>
          </w:p>
        </w:tc>
        <w:tc>
          <w:tcPr>
            <w:tcW w:w="522" w:type="dxa"/>
            <w:vMerge w:val="restart"/>
            <w:vAlign w:val="center"/>
          </w:tcPr>
          <w:p>
            <w:pPr>
              <w:rPr>
                <w:rFonts w:ascii="Times New Roman" w:hAnsi="Times New Roman" w:eastAsia="仿宋_GB2312"/>
                <w:color w:val="auto"/>
                <w:szCs w:val="21"/>
              </w:rPr>
            </w:pPr>
            <w:r>
              <w:rPr>
                <w:rFonts w:ascii="Times New Roman" w:hAnsi="Times New Roman" w:eastAsia="仿宋_GB2312"/>
                <w:color w:val="auto"/>
                <w:szCs w:val="21"/>
              </w:rPr>
              <w:t>申请在单一外汇分局所辖地区开办业务所需材料</w:t>
            </w:r>
          </w:p>
        </w:tc>
      </w:tr>
      <w:tr>
        <w:trPr>
          <w:trHeight w:val="130"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11</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筹备工作总结报告</w:t>
            </w:r>
          </w:p>
          <w:p>
            <w:pPr>
              <w:rPr>
                <w:rFonts w:ascii="Times New Roman" w:hAnsi="Times New Roman" w:eastAsia="仿宋_GB2312"/>
                <w:color w:val="auto"/>
                <w:szCs w:val="21"/>
              </w:rPr>
            </w:pPr>
            <w:r>
              <w:rPr>
                <w:rFonts w:ascii="Times New Roman" w:hAnsi="Times New Roman" w:eastAsia="仿宋_GB2312"/>
                <w:color w:val="auto"/>
                <w:szCs w:val="21"/>
              </w:rPr>
              <w:t>内容包括但不限于：1.筹备工作的组织情况；2.筹备工作的完成情况；3.满足开业条件的情况说明。</w:t>
            </w:r>
          </w:p>
        </w:tc>
        <w:tc>
          <w:tcPr>
            <w:tcW w:w="675" w:type="dxa"/>
            <w:vAlign w:val="center"/>
          </w:tcPr>
          <w:p>
            <w:pPr>
              <w:rPr>
                <w:rFonts w:ascii="Times New Roman" w:hAnsi="Times New Roman" w:eastAsia="仿宋_GB2312"/>
                <w:color w:val="auto"/>
                <w:szCs w:val="21"/>
              </w:rPr>
            </w:pPr>
          </w:p>
        </w:tc>
        <w:tc>
          <w:tcPr>
            <w:tcW w:w="280" w:type="dxa"/>
            <w:vAlign w:val="center"/>
          </w:tcPr>
          <w:p>
            <w:pPr>
              <w:rPr>
                <w:rFonts w:ascii="Times New Roman" w:hAnsi="Times New Roman" w:eastAsia="仿宋_GB2312"/>
                <w:color w:val="auto"/>
                <w:szCs w:val="21"/>
              </w:rPr>
            </w:pPr>
          </w:p>
        </w:tc>
        <w:tc>
          <w:tcPr>
            <w:tcW w:w="503" w:type="dxa"/>
            <w:vAlign w:val="center"/>
          </w:tcPr>
          <w:p>
            <w:pPr>
              <w:rPr>
                <w:rFonts w:ascii="Times New Roman" w:hAnsi="Times New Roman" w:eastAsia="仿宋_GB2312"/>
                <w:color w:val="auto"/>
                <w:szCs w:val="21"/>
              </w:rPr>
            </w:pP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73"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12</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营业场所所有权或使用权的证明材料</w:t>
            </w:r>
          </w:p>
        </w:tc>
        <w:tc>
          <w:tcPr>
            <w:tcW w:w="675" w:type="dxa"/>
            <w:vAlign w:val="center"/>
          </w:tcPr>
          <w:p>
            <w:pPr>
              <w:rPr>
                <w:rFonts w:ascii="Times New Roman" w:hAnsi="Times New Roman" w:eastAsia="仿宋_GB2312"/>
                <w:color w:val="auto"/>
                <w:szCs w:val="21"/>
              </w:rPr>
            </w:pPr>
          </w:p>
        </w:tc>
        <w:tc>
          <w:tcPr>
            <w:tcW w:w="280" w:type="dxa"/>
            <w:vAlign w:val="center"/>
          </w:tcPr>
          <w:p>
            <w:pPr>
              <w:rPr>
                <w:rFonts w:ascii="Times New Roman" w:hAnsi="Times New Roman" w:eastAsia="仿宋_GB2312"/>
                <w:color w:val="auto"/>
                <w:szCs w:val="21"/>
              </w:rPr>
            </w:pPr>
          </w:p>
        </w:tc>
        <w:tc>
          <w:tcPr>
            <w:tcW w:w="503" w:type="dxa"/>
            <w:vAlign w:val="center"/>
          </w:tcPr>
          <w:p>
            <w:pPr>
              <w:rPr>
                <w:rFonts w:ascii="Times New Roman" w:hAnsi="Times New Roman" w:eastAsia="仿宋_GB2312"/>
                <w:color w:val="auto"/>
                <w:szCs w:val="21"/>
              </w:rPr>
            </w:pP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30"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13</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满足安保需要的相关说明材料</w:t>
            </w:r>
          </w:p>
          <w:p>
            <w:pPr>
              <w:rPr>
                <w:rFonts w:ascii="Times New Roman" w:hAnsi="Times New Roman" w:eastAsia="仿宋_GB2312"/>
                <w:color w:val="auto"/>
                <w:szCs w:val="21"/>
              </w:rPr>
            </w:pPr>
            <w:r>
              <w:rPr>
                <w:rFonts w:ascii="Times New Roman" w:hAnsi="Times New Roman" w:eastAsia="仿宋_GB2312"/>
                <w:color w:val="auto"/>
                <w:szCs w:val="21"/>
              </w:rPr>
              <w:t>1.确保营业网点资金安全的相关内控制度；2.确保营业网点资金安全的相关设备设施；3.突发事件的应急预案。</w:t>
            </w:r>
          </w:p>
        </w:tc>
        <w:tc>
          <w:tcPr>
            <w:tcW w:w="675" w:type="dxa"/>
            <w:vAlign w:val="center"/>
          </w:tcPr>
          <w:p>
            <w:pPr>
              <w:rPr>
                <w:rFonts w:ascii="Times New Roman" w:hAnsi="Times New Roman" w:eastAsia="仿宋_GB2312"/>
                <w:color w:val="auto"/>
                <w:szCs w:val="21"/>
              </w:rPr>
            </w:pPr>
          </w:p>
        </w:tc>
        <w:tc>
          <w:tcPr>
            <w:tcW w:w="280" w:type="dxa"/>
            <w:vAlign w:val="center"/>
          </w:tcPr>
          <w:p>
            <w:pPr>
              <w:rPr>
                <w:rFonts w:ascii="Times New Roman" w:hAnsi="Times New Roman" w:eastAsia="仿宋_GB2312"/>
                <w:color w:val="auto"/>
                <w:szCs w:val="21"/>
              </w:rPr>
            </w:pPr>
          </w:p>
        </w:tc>
        <w:tc>
          <w:tcPr>
            <w:tcW w:w="503" w:type="dxa"/>
            <w:vAlign w:val="center"/>
          </w:tcPr>
          <w:p>
            <w:pPr>
              <w:rPr>
                <w:rFonts w:ascii="Times New Roman" w:hAnsi="Times New Roman" w:eastAsia="仿宋_GB2312"/>
                <w:color w:val="auto"/>
                <w:szCs w:val="21"/>
              </w:rPr>
            </w:pP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30"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14</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满足接入个人结售汇系统技术条件的说明材料</w:t>
            </w:r>
          </w:p>
        </w:tc>
        <w:tc>
          <w:tcPr>
            <w:tcW w:w="675" w:type="dxa"/>
            <w:vAlign w:val="center"/>
          </w:tcPr>
          <w:p>
            <w:pPr>
              <w:rPr>
                <w:rFonts w:ascii="Times New Roman" w:hAnsi="Times New Roman" w:eastAsia="仿宋_GB2312"/>
                <w:color w:val="auto"/>
                <w:szCs w:val="21"/>
              </w:rPr>
            </w:pPr>
          </w:p>
        </w:tc>
        <w:tc>
          <w:tcPr>
            <w:tcW w:w="280" w:type="dxa"/>
            <w:vAlign w:val="center"/>
          </w:tcPr>
          <w:p>
            <w:pPr>
              <w:rPr>
                <w:rFonts w:ascii="Times New Roman" w:hAnsi="Times New Roman" w:eastAsia="仿宋_GB2312"/>
                <w:color w:val="auto"/>
                <w:szCs w:val="21"/>
              </w:rPr>
            </w:pPr>
          </w:p>
        </w:tc>
        <w:tc>
          <w:tcPr>
            <w:tcW w:w="503" w:type="dxa"/>
            <w:vAlign w:val="center"/>
          </w:tcPr>
          <w:p>
            <w:pPr>
              <w:rPr>
                <w:rFonts w:ascii="Times New Roman" w:hAnsi="Times New Roman" w:eastAsia="仿宋_GB2312"/>
                <w:color w:val="auto"/>
                <w:szCs w:val="21"/>
              </w:rPr>
            </w:pP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29"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15</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申请报告</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restart"/>
            <w:vAlign w:val="center"/>
          </w:tcPr>
          <w:p>
            <w:pPr>
              <w:rPr>
                <w:rFonts w:ascii="Times New Roman" w:hAnsi="Times New Roman" w:eastAsia="仿宋_GB2312"/>
                <w:color w:val="auto"/>
                <w:szCs w:val="21"/>
              </w:rPr>
            </w:pPr>
            <w:r>
              <w:rPr>
                <w:rFonts w:ascii="Times New Roman" w:hAnsi="Times New Roman" w:eastAsia="仿宋_GB2312"/>
                <w:color w:val="auto"/>
                <w:szCs w:val="21"/>
              </w:rPr>
              <w:t>申请在全国开办业务所需材料</w:t>
            </w:r>
          </w:p>
        </w:tc>
      </w:tr>
      <w:tr>
        <w:trPr>
          <w:trHeight w:val="1806"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16</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业务发展情况总结及未来拓展规划</w:t>
            </w:r>
          </w:p>
          <w:p>
            <w:pPr>
              <w:rPr>
                <w:rFonts w:ascii="Times New Roman" w:hAnsi="Times New Roman" w:eastAsia="仿宋_GB2312"/>
                <w:color w:val="auto"/>
                <w:szCs w:val="21"/>
              </w:rPr>
            </w:pPr>
            <w:r>
              <w:rPr>
                <w:rFonts w:ascii="Times New Roman" w:hAnsi="Times New Roman" w:eastAsia="仿宋_GB2312"/>
                <w:color w:val="auto"/>
                <w:szCs w:val="21"/>
              </w:rPr>
              <w:t>内容包括但不限于：</w:t>
            </w:r>
          </w:p>
          <w:p>
            <w:pPr>
              <w:rPr>
                <w:rFonts w:ascii="Times New Roman" w:hAnsi="Times New Roman" w:eastAsia="仿宋_GB2312"/>
                <w:color w:val="auto"/>
                <w:szCs w:val="21"/>
              </w:rPr>
            </w:pPr>
            <w:r>
              <w:rPr>
                <w:rFonts w:ascii="Times New Roman" w:hAnsi="Times New Roman" w:eastAsia="仿宋_GB2312"/>
                <w:color w:val="auto"/>
                <w:szCs w:val="21"/>
              </w:rPr>
              <w:t>1.获取在单一外汇局所辖地区经营个人本外币兑换特许业务经营资格以来的业务规模、盈利、网点分布、经营管理等情况；</w:t>
            </w:r>
          </w:p>
          <w:p>
            <w:pPr>
              <w:rPr>
                <w:rFonts w:ascii="Times New Roman" w:hAnsi="Times New Roman" w:eastAsia="仿宋_GB2312"/>
                <w:color w:val="auto"/>
                <w:szCs w:val="21"/>
              </w:rPr>
            </w:pPr>
            <w:r>
              <w:rPr>
                <w:rFonts w:ascii="Times New Roman" w:hAnsi="Times New Roman" w:eastAsia="仿宋_GB2312"/>
                <w:color w:val="auto"/>
                <w:szCs w:val="21"/>
              </w:rPr>
              <w:t>2.单一区域业务发展的优势分析及全国范围内经营的优势分析；</w:t>
            </w:r>
          </w:p>
          <w:p>
            <w:pPr>
              <w:rPr>
                <w:rFonts w:ascii="Times New Roman" w:hAnsi="Times New Roman" w:eastAsia="仿宋_GB2312"/>
                <w:color w:val="auto"/>
                <w:szCs w:val="21"/>
              </w:rPr>
            </w:pPr>
            <w:r>
              <w:rPr>
                <w:rFonts w:ascii="Times New Roman" w:hAnsi="Times New Roman" w:eastAsia="仿宋_GB2312"/>
                <w:color w:val="auto"/>
                <w:szCs w:val="21"/>
              </w:rPr>
              <w:t>3.取得全国范围内经营个人本外币兑换特许资格后发展规划、网点布局及相应的工作方案。</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323"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17</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营业执照副本、组织机构代码证及其复印件</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原件及复印件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29" w:hRule="atLeast"/>
          <w:jc w:val="center"/>
        </w:trPr>
        <w:tc>
          <w:tcPr>
            <w:tcW w:w="466"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18</w:t>
            </w:r>
          </w:p>
        </w:tc>
        <w:tc>
          <w:tcPr>
            <w:tcW w:w="5887"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达到全国性经营最低标准的网点数及业务量的证明材料</w:t>
            </w:r>
          </w:p>
        </w:tc>
        <w:tc>
          <w:tcPr>
            <w:tcW w:w="675"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vAlign w:val="center"/>
          </w:tcPr>
          <w:p>
            <w:pPr>
              <w:rPr>
                <w:rFonts w:ascii="Times New Roman" w:hAnsi="Times New Roman" w:eastAsia="仿宋_GB2312"/>
                <w:color w:val="auto"/>
                <w:szCs w:val="21"/>
              </w:rPr>
            </w:pPr>
          </w:p>
        </w:tc>
        <w:tc>
          <w:tcPr>
            <w:tcW w:w="522" w:type="dxa"/>
            <w:vMerge w:val="continue"/>
            <w:vAlign w:val="center"/>
          </w:tcPr>
          <w:p>
            <w:pPr>
              <w:rPr>
                <w:rFonts w:ascii="Times New Roman" w:hAnsi="Times New Roman" w:eastAsia="仿宋_GB2312"/>
                <w:color w:val="auto"/>
                <w:szCs w:val="21"/>
              </w:rPr>
            </w:pPr>
          </w:p>
        </w:tc>
      </w:tr>
      <w:tr>
        <w:trPr>
          <w:trHeight w:val="166" w:hRule="atLeast"/>
          <w:jc w:val="center"/>
        </w:trPr>
        <w:tc>
          <w:tcPr>
            <w:tcW w:w="466" w:type="dxa"/>
            <w:tcBorders>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19</w:t>
            </w:r>
          </w:p>
        </w:tc>
        <w:tc>
          <w:tcPr>
            <w:tcW w:w="5887" w:type="dxa"/>
            <w:tcBorders>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对跨区域分支机构进行管理的规章制度和软硬件设施的说明材料</w:t>
            </w:r>
          </w:p>
        </w:tc>
        <w:tc>
          <w:tcPr>
            <w:tcW w:w="675" w:type="dxa"/>
            <w:tcBorders>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280" w:type="dxa"/>
            <w:tcBorders>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503" w:type="dxa"/>
            <w:tcBorders>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279" w:type="dxa"/>
            <w:tcBorders>
              <w:bottom w:val="single" w:color="auto" w:sz="4" w:space="0"/>
            </w:tcBorders>
            <w:vAlign w:val="center"/>
          </w:tcPr>
          <w:p>
            <w:pPr>
              <w:rPr>
                <w:rFonts w:ascii="Times New Roman" w:hAnsi="Times New Roman" w:eastAsia="仿宋_GB2312"/>
                <w:color w:val="auto"/>
                <w:szCs w:val="21"/>
              </w:rPr>
            </w:pPr>
          </w:p>
        </w:tc>
        <w:tc>
          <w:tcPr>
            <w:tcW w:w="522" w:type="dxa"/>
            <w:vMerge w:val="continue"/>
            <w:tcBorders>
              <w:bottom w:val="single" w:color="auto" w:sz="4" w:space="0"/>
            </w:tcBorders>
            <w:vAlign w:val="center"/>
          </w:tcPr>
          <w:p>
            <w:pPr>
              <w:rPr>
                <w:rFonts w:ascii="Times New Roman" w:hAnsi="Times New Roman" w:eastAsia="仿宋_GB2312"/>
                <w:color w:val="auto"/>
                <w:szCs w:val="21"/>
              </w:rPr>
            </w:pPr>
          </w:p>
        </w:tc>
      </w:tr>
    </w:tbl>
    <w:p>
      <w:pPr>
        <w:spacing w:beforeLines="50"/>
        <w:ind w:firstLine="480" w:firstLineChars="200"/>
        <w:rPr>
          <w:rFonts w:ascii="黑体" w:hAnsi="黑体" w:eastAsia="黑体"/>
          <w:color w:val="auto"/>
          <w:sz w:val="24"/>
        </w:rPr>
      </w:pPr>
      <w:r>
        <w:rPr>
          <w:rFonts w:hint="eastAsia" w:ascii="黑体" w:hAnsi="黑体" w:eastAsia="黑体"/>
          <w:color w:val="auto"/>
          <w:sz w:val="24"/>
        </w:rPr>
        <w:t xml:space="preserve">八、申请接受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可通过窗口、邮寄等方式提交材料。拟在单一外汇分局所辖地区内经营特许业务的，申请机构持所需材料向所在地外汇局提出申请。所在地外汇局初审合格后逐级报上级外汇分局批准。在单一外汇分局所辖地区内经营特许业务的机构拟在全国范围内经营的，持所需材料向所在地国家外汇管理局分局提交申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邮寄地址：合肥市滨湖新区洞庭湖路3366号，邮政编码230091。</w:t>
      </w:r>
    </w:p>
    <w:p>
      <w:pPr>
        <w:ind w:firstLine="480" w:firstLineChars="200"/>
        <w:rPr>
          <w:rFonts w:ascii="黑体" w:hAnsi="黑体" w:eastAsia="黑体"/>
          <w:color w:val="auto"/>
          <w:sz w:val="24"/>
        </w:rPr>
      </w:pPr>
      <w:r>
        <w:rPr>
          <w:rFonts w:hint="eastAsia" w:ascii="黑体" w:hAnsi="黑体" w:eastAsia="黑体"/>
          <w:color w:val="auto"/>
          <w:sz w:val="24"/>
        </w:rPr>
        <w:t xml:space="preserve">九、基本办理流程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 xml:space="preserve">拟在单一外汇分局所辖地区内经营特许业务的，申请机构持所需材料向所在地外汇局申请；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 xml:space="preserve">所在地外汇局初审合格后逐级报上级外汇分局批准；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 xml:space="preserve">外汇分局在收到完整申请材料之日起20个工作日内做出批准或不批准其进入筹备期的书面决定；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（四）</w:t>
      </w:r>
      <w:r>
        <w:rPr>
          <w:rFonts w:ascii="Times New Roman" w:hAnsi="Times New Roman" w:eastAsia="仿宋_GB2312"/>
          <w:color w:val="auto"/>
          <w:sz w:val="24"/>
        </w:rPr>
        <w:t xml:space="preserve">申请机构在筹备期间达到特许业务开办条件的，持所需资料向所在地外汇局提交申请；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（五）</w:t>
      </w:r>
      <w:r>
        <w:rPr>
          <w:rFonts w:ascii="Times New Roman" w:hAnsi="Times New Roman" w:eastAsia="仿宋_GB2312"/>
          <w:color w:val="auto"/>
          <w:sz w:val="24"/>
        </w:rPr>
        <w:t xml:space="preserve">所在地外汇局初审合格后逐级报上级外汇分局批准；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（六）</w:t>
      </w:r>
      <w:r>
        <w:rPr>
          <w:rFonts w:ascii="Times New Roman" w:hAnsi="Times New Roman" w:eastAsia="仿宋_GB2312"/>
          <w:color w:val="auto"/>
          <w:sz w:val="24"/>
        </w:rPr>
        <w:t xml:space="preserve">外汇分局自收到完整申请材料之日起20个工作日内，对申请机构的开办条件进行现场验收，做出批准或不批准的书面决定，并对获得批准的机构发放兑换特许证。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（七）</w:t>
      </w:r>
      <w:r>
        <w:rPr>
          <w:rFonts w:ascii="Times New Roman" w:hAnsi="Times New Roman" w:eastAsia="仿宋_GB2312"/>
          <w:color w:val="auto"/>
          <w:sz w:val="24"/>
        </w:rPr>
        <w:t xml:space="preserve">在单一外汇分局所辖地区内经营特许业务的机构拟在全国范围内经营的，向所在地外汇分局提交申请；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（八）</w:t>
      </w:r>
      <w:r>
        <w:rPr>
          <w:rFonts w:ascii="Times New Roman" w:hAnsi="Times New Roman" w:eastAsia="仿宋_GB2312"/>
          <w:color w:val="auto"/>
          <w:sz w:val="24"/>
        </w:rPr>
        <w:t xml:space="preserve">外汇分局自收到完整申请材料之日起20个工作日内初审同意后报国家外汇管理局批准。 </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（九）</w:t>
      </w:r>
      <w:r>
        <w:rPr>
          <w:rFonts w:ascii="Times New Roman" w:hAnsi="Times New Roman" w:eastAsia="仿宋_GB2312"/>
          <w:color w:val="auto"/>
          <w:sz w:val="24"/>
        </w:rPr>
        <w:t xml:space="preserve">材料不全或不符合法定形式的，一次性告知补正材料，并出具《行政许可补正通知书》。 </w:t>
      </w:r>
    </w:p>
    <w:p>
      <w:pPr>
        <w:ind w:firstLine="480" w:firstLineChars="200"/>
        <w:rPr>
          <w:rFonts w:ascii="Times New Roman" w:hAnsi="Times New Roman" w:eastAsia="仿宋_GB2312"/>
          <w:color w:val="auto"/>
          <w:sz w:val="24"/>
        </w:rPr>
      </w:pPr>
      <w:r>
        <w:rPr>
          <w:rFonts w:hint="eastAsia" w:ascii="黑体" w:hAnsi="黑体" w:eastAsia="黑体"/>
          <w:color w:val="auto"/>
          <w:sz w:val="24"/>
        </w:rPr>
        <w:t xml:space="preserve">十、办理方式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一般程序申请、受理、审查、出具正式公文并发放兑换特许证。</w:t>
      </w:r>
    </w:p>
    <w:p>
      <w:pPr>
        <w:ind w:firstLine="480" w:firstLineChars="200"/>
        <w:rPr>
          <w:rFonts w:ascii="黑体" w:hAnsi="黑体" w:eastAsia="黑体"/>
          <w:color w:val="auto"/>
          <w:sz w:val="24"/>
        </w:rPr>
      </w:pPr>
      <w:r>
        <w:rPr>
          <w:rFonts w:hint="eastAsia" w:ascii="黑体" w:hAnsi="黑体" w:eastAsia="黑体"/>
          <w:color w:val="auto"/>
          <w:sz w:val="24"/>
        </w:rPr>
        <w:t xml:space="preserve">十一、审批时限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法定时限20个工作日。</w:t>
      </w:r>
    </w:p>
    <w:p>
      <w:pPr>
        <w:ind w:firstLine="480" w:firstLineChars="200"/>
        <w:rPr>
          <w:rFonts w:ascii="黑体" w:hAnsi="黑体" w:eastAsia="黑体"/>
          <w:color w:val="auto"/>
          <w:sz w:val="24"/>
        </w:rPr>
      </w:pPr>
      <w:r>
        <w:rPr>
          <w:rFonts w:hint="eastAsia" w:ascii="黑体" w:hAnsi="黑体" w:eastAsia="黑体"/>
          <w:color w:val="auto"/>
          <w:sz w:val="24"/>
        </w:rPr>
        <w:t xml:space="preserve">十二、审批收费依据及标准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不收费。 </w:t>
      </w:r>
    </w:p>
    <w:p>
      <w:pPr>
        <w:ind w:firstLine="480" w:firstLineChars="200"/>
        <w:rPr>
          <w:rFonts w:ascii="黑体" w:hAnsi="黑体" w:eastAsia="黑体"/>
          <w:color w:val="auto"/>
          <w:sz w:val="24"/>
        </w:rPr>
      </w:pPr>
      <w:r>
        <w:rPr>
          <w:rFonts w:hint="eastAsia" w:ascii="黑体" w:hAnsi="黑体" w:eastAsia="黑体"/>
          <w:color w:val="auto"/>
          <w:sz w:val="24"/>
        </w:rPr>
        <w:t xml:space="preserve">十三、审批结果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兑换特许证、正式公文。 </w:t>
      </w:r>
    </w:p>
    <w:p>
      <w:pPr>
        <w:ind w:firstLine="480" w:firstLineChars="200"/>
        <w:rPr>
          <w:rFonts w:ascii="黑体" w:hAnsi="黑体" w:eastAsia="黑体"/>
          <w:color w:val="auto"/>
          <w:sz w:val="24"/>
        </w:rPr>
      </w:pPr>
      <w:r>
        <w:rPr>
          <w:rFonts w:hint="eastAsia" w:ascii="黑体" w:hAnsi="黑体" w:eastAsia="黑体"/>
          <w:color w:val="auto"/>
          <w:sz w:val="24"/>
        </w:rPr>
        <w:t xml:space="preserve">十四、结果送达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通过现场告知或电话通知申请人，并通过现场领取或邮寄方式将结果送达。 </w:t>
      </w:r>
    </w:p>
    <w:p>
      <w:pPr>
        <w:ind w:firstLine="480" w:firstLineChars="200"/>
        <w:rPr>
          <w:rFonts w:ascii="黑体" w:hAnsi="黑体" w:eastAsia="黑体"/>
          <w:color w:val="auto"/>
          <w:sz w:val="24"/>
        </w:rPr>
      </w:pPr>
      <w:r>
        <w:rPr>
          <w:rFonts w:hint="eastAsia" w:ascii="黑体" w:hAnsi="黑体" w:eastAsia="黑体"/>
          <w:color w:val="auto"/>
          <w:sz w:val="24"/>
        </w:rPr>
        <w:t xml:space="preserve">十五、申请人权利和义务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申请人有权依法提出行政审批申请，依法进行投诉、举报、复议、诉讼等。申请人有义务保证申请材料完整、真实、准确，获批后合法合规办理相关业务。 </w:t>
      </w:r>
    </w:p>
    <w:p>
      <w:pPr>
        <w:ind w:firstLine="480" w:firstLineChars="200"/>
        <w:rPr>
          <w:rFonts w:ascii="黑体" w:hAnsi="黑体" w:eastAsia="黑体"/>
          <w:color w:val="auto"/>
          <w:sz w:val="24"/>
        </w:rPr>
      </w:pPr>
      <w:r>
        <w:rPr>
          <w:rFonts w:hint="eastAsia" w:ascii="黑体" w:hAnsi="黑体" w:eastAsia="黑体"/>
          <w:color w:val="auto"/>
          <w:sz w:val="24"/>
        </w:rPr>
        <w:t xml:space="preserve">十六、事项审查类型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 xml:space="preserve">十七、办公地址和时间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黑体" w:hAnsi="黑体" w:eastAsia="黑体"/>
          <w:color w:val="auto"/>
          <w:sz w:val="24"/>
        </w:rPr>
      </w:pPr>
      <w:r>
        <w:rPr>
          <w:rFonts w:hint="eastAsia" w:ascii="黑体" w:hAnsi="黑体" w:eastAsia="黑体"/>
          <w:color w:val="auto"/>
          <w:sz w:val="24"/>
        </w:rPr>
        <w:t xml:space="preserve">十八、禁止性要求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详见（五）办事条件</w:t>
      </w:r>
      <w:r>
        <w:rPr>
          <w:rFonts w:hint="eastAsia" w:ascii="Times New Roman" w:hAnsi="Times New Roman" w:eastAsia="仿宋_GB2312"/>
          <w:color w:val="auto"/>
          <w:sz w:val="24"/>
        </w:rPr>
        <w:t>。</w:t>
      </w:r>
      <w:r>
        <w:rPr>
          <w:rFonts w:ascii="Times New Roman" w:hAnsi="Times New Roman" w:eastAsia="仿宋_GB2312"/>
          <w:color w:val="auto"/>
          <w:sz w:val="24"/>
        </w:rPr>
        <w:t xml:space="preserve"> </w:t>
      </w:r>
    </w:p>
    <w:p>
      <w:pPr>
        <w:ind w:firstLine="480" w:firstLineChars="200"/>
        <w:rPr>
          <w:rFonts w:ascii="黑体" w:hAnsi="黑体" w:eastAsia="黑体"/>
          <w:color w:val="auto"/>
          <w:sz w:val="24"/>
        </w:rPr>
      </w:pPr>
      <w:r>
        <w:rPr>
          <w:rFonts w:hint="eastAsia" w:ascii="黑体" w:hAnsi="黑体" w:eastAsia="黑体"/>
          <w:color w:val="auto"/>
          <w:sz w:val="24"/>
        </w:rPr>
        <w:t xml:space="preserve">十九、咨询途径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 xml:space="preserve">二十、办理进程和结果公开查询 </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r>
        <w:rPr>
          <w:rFonts w:ascii="Times New Roman" w:hAnsi="Times New Roman" w:eastAsia="仿宋_GB2312"/>
          <w:color w:val="auto"/>
          <w:sz w:val="24"/>
        </w:rPr>
        <w:t xml:space="preserve">   </w:t>
      </w:r>
    </w:p>
    <w:p>
      <w:pPr>
        <w:ind w:firstLine="480" w:firstLineChars="200"/>
        <w:rPr>
          <w:rFonts w:ascii="黑体" w:hAnsi="黑体" w:eastAsia="黑体"/>
          <w:color w:val="auto"/>
          <w:sz w:val="24"/>
        </w:rPr>
      </w:pPr>
      <w:r>
        <w:rPr>
          <w:rFonts w:hint="eastAsia" w:ascii="黑体" w:hAnsi="黑体" w:eastAsia="黑体"/>
          <w:color w:val="auto"/>
          <w:sz w:val="24"/>
        </w:rPr>
        <w:t>二十一、监督投诉渠道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二十二、申请材料示范文本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无固定格式。有关内容要求详见（六）申请材料</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二十三、常见问题解答</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法定时限在20个工作日以内。</w:t>
      </w:r>
    </w:p>
    <w:p>
      <w:pPr>
        <w:spacing w:line="360" w:lineRule="auto"/>
        <w:rPr>
          <w:rFonts w:ascii="Times New Roman" w:hAnsi="Times New Roman" w:eastAsia="仿宋_GB2312"/>
          <w:color w:val="auto"/>
          <w:sz w:val="24"/>
        </w:rPr>
        <w:sectPr>
          <w:pgSz w:w="11849" w:h="16781"/>
          <w:pgMar w:top="1440" w:right="1800" w:bottom="1440" w:left="1800" w:header="720" w:footer="720" w:gutter="0"/>
          <w:pgNumType w:fmt="decimal"/>
          <w:cols w:space="720" w:num="1"/>
        </w:sectPr>
      </w:pPr>
    </w:p>
    <w:p>
      <w:pPr>
        <w:pStyle w:val="2"/>
        <w:ind w:firstLine="0" w:firstLineChars="0"/>
        <w:jc w:val="center"/>
        <w:rPr>
          <w:color w:val="auto"/>
          <w:sz w:val="36"/>
        </w:rPr>
      </w:pPr>
      <w:bookmarkStart w:id="24" w:name="_Toc7788"/>
      <w:bookmarkStart w:id="25" w:name="_Toc13028"/>
      <w:bookmarkStart w:id="26" w:name="_Toc10915"/>
      <w:r>
        <w:rPr>
          <w:rFonts w:hint="eastAsia"/>
          <w:color w:val="auto"/>
          <w:sz w:val="36"/>
        </w:rPr>
        <w:t>银行资本金（或营运资金）本外币转换核准</w:t>
      </w:r>
      <w:bookmarkEnd w:id="24"/>
      <w:bookmarkEnd w:id="25"/>
      <w:bookmarkEnd w:id="26"/>
    </w:p>
    <w:p>
      <w:pPr>
        <w:ind w:firstLine="480" w:firstLineChars="200"/>
        <w:rPr>
          <w:rFonts w:ascii="黑体" w:hAnsi="黑体" w:eastAsia="黑体"/>
          <w:color w:val="auto"/>
          <w:sz w:val="24"/>
        </w:rPr>
      </w:pPr>
      <w:r>
        <w:rPr>
          <w:rFonts w:hint="eastAsia" w:ascii="黑体" w:hAnsi="黑体" w:eastAsia="黑体"/>
          <w:color w:val="auto"/>
          <w:sz w:val="24"/>
        </w:rPr>
        <w:t>一、项目信息</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项目名称：金融机构外汇与人民币资产不匹配的购汇、结汇审批；</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子项名称：银行资本金（或营运资金）本外币转换核准；</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审批类别：行政许可。</w:t>
      </w:r>
    </w:p>
    <w:p>
      <w:pPr>
        <w:ind w:firstLine="480" w:firstLineChars="200"/>
        <w:rPr>
          <w:rFonts w:ascii="黑体" w:hAnsi="黑体" w:eastAsia="黑体"/>
          <w:color w:val="auto"/>
          <w:sz w:val="24"/>
        </w:rPr>
      </w:pPr>
      <w:r>
        <w:rPr>
          <w:rFonts w:hint="eastAsia" w:ascii="黑体" w:hAnsi="黑体" w:eastAsia="黑体"/>
          <w:color w:val="auto"/>
          <w:sz w:val="24"/>
        </w:rPr>
        <w:t>二、</w:t>
      </w:r>
      <w:r>
        <w:rPr>
          <w:rFonts w:ascii="黑体" w:hAnsi="黑体" w:eastAsia="黑体"/>
          <w:color w:val="auto"/>
          <w:sz w:val="24"/>
        </w:rPr>
        <w:t>适用范围</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适用于“银行资本金（或营运资金）本外币转换核准”的申请和办理。</w:t>
      </w:r>
    </w:p>
    <w:p>
      <w:pPr>
        <w:ind w:firstLine="480" w:firstLineChars="200"/>
        <w:rPr>
          <w:rFonts w:ascii="黑体" w:hAnsi="黑体" w:eastAsia="黑体"/>
          <w:color w:val="auto"/>
          <w:sz w:val="24"/>
        </w:rPr>
      </w:pPr>
      <w:r>
        <w:rPr>
          <w:rFonts w:hint="eastAsia" w:ascii="黑体" w:hAnsi="黑体" w:eastAsia="黑体"/>
          <w:color w:val="auto"/>
          <w:sz w:val="24"/>
        </w:rPr>
        <w:t>三、</w:t>
      </w:r>
      <w:r>
        <w:rPr>
          <w:rFonts w:ascii="黑体" w:hAnsi="黑体" w:eastAsia="黑体"/>
          <w:color w:val="auto"/>
          <w:sz w:val="24"/>
        </w:rPr>
        <w:t>设定依据</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《中华人民共和国外汇管理条例》（国务院令第532 号）第二十六条：“金融机构的资本金、利润以及因本外币资产不匹配需要进行人民币与外币间转换的，应当经外汇管理机关批准”。</w:t>
      </w:r>
    </w:p>
    <w:p>
      <w:pPr>
        <w:ind w:firstLine="480" w:firstLineChars="200"/>
        <w:rPr>
          <w:rFonts w:ascii="黑体" w:hAnsi="黑体" w:eastAsia="黑体"/>
          <w:color w:val="auto"/>
          <w:sz w:val="24"/>
        </w:rPr>
      </w:pPr>
      <w:r>
        <w:rPr>
          <w:rFonts w:hint="eastAsia" w:ascii="黑体" w:hAnsi="黑体" w:eastAsia="黑体"/>
          <w:color w:val="auto"/>
          <w:sz w:val="24"/>
        </w:rPr>
        <w:t>四、</w:t>
      </w:r>
      <w:r>
        <w:rPr>
          <w:rFonts w:ascii="黑体" w:hAnsi="黑体" w:eastAsia="黑体"/>
          <w:color w:val="auto"/>
          <w:sz w:val="24"/>
        </w:rPr>
        <w:t>办理依据</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《中华人民共和国外汇管理条例》（国务院令第532 号）；</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《银行办理结售汇业务管理办法》（中国人民银行令〔2014〕第2号）；</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《国家外汇管理局关于印发〈银行办理结售汇业务管理办法实施细则〉的通知》（汇发〔2014〕53 号）。</w:t>
      </w:r>
    </w:p>
    <w:p>
      <w:pPr>
        <w:ind w:firstLine="480" w:firstLineChars="200"/>
        <w:rPr>
          <w:rFonts w:ascii="黑体" w:hAnsi="黑体" w:eastAsia="黑体"/>
          <w:color w:val="auto"/>
          <w:sz w:val="24"/>
        </w:rPr>
      </w:pPr>
      <w:r>
        <w:rPr>
          <w:rFonts w:hint="eastAsia" w:ascii="黑体" w:hAnsi="黑体" w:eastAsia="黑体"/>
          <w:color w:val="auto"/>
          <w:sz w:val="24"/>
        </w:rPr>
        <w:t>五、</w:t>
      </w:r>
      <w:r>
        <w:rPr>
          <w:rFonts w:ascii="黑体" w:hAnsi="黑体" w:eastAsia="黑体"/>
          <w:color w:val="auto"/>
          <w:sz w:val="24"/>
        </w:rPr>
        <w:t>受理机构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p>
    <w:p>
      <w:pPr>
        <w:ind w:firstLine="480" w:firstLineChars="200"/>
        <w:rPr>
          <w:rFonts w:ascii="黑体" w:hAnsi="黑体" w:eastAsia="黑体"/>
          <w:color w:val="auto"/>
          <w:sz w:val="24"/>
        </w:rPr>
      </w:pPr>
      <w:r>
        <w:rPr>
          <w:rFonts w:hint="eastAsia" w:ascii="黑体" w:hAnsi="黑体" w:eastAsia="黑体"/>
          <w:color w:val="auto"/>
          <w:sz w:val="24"/>
        </w:rPr>
        <w:t>六、</w:t>
      </w:r>
      <w:r>
        <w:rPr>
          <w:rFonts w:ascii="黑体" w:hAnsi="黑体" w:eastAsia="黑体"/>
          <w:color w:val="auto"/>
          <w:sz w:val="24"/>
        </w:rPr>
        <w:t>决定机构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p>
    <w:p>
      <w:pPr>
        <w:ind w:firstLine="480" w:firstLineChars="200"/>
        <w:rPr>
          <w:rFonts w:ascii="黑体" w:hAnsi="黑体" w:eastAsia="黑体"/>
          <w:color w:val="auto"/>
          <w:sz w:val="24"/>
        </w:rPr>
      </w:pPr>
      <w:r>
        <w:rPr>
          <w:rFonts w:hint="eastAsia" w:ascii="黑体" w:hAnsi="黑体" w:eastAsia="黑体"/>
          <w:color w:val="auto"/>
          <w:sz w:val="24"/>
        </w:rPr>
        <w:t>七、</w:t>
      </w:r>
      <w:r>
        <w:rPr>
          <w:rFonts w:ascii="黑体" w:hAnsi="黑体" w:eastAsia="黑体"/>
          <w:color w:val="auto"/>
          <w:sz w:val="24"/>
        </w:rPr>
        <w:t>审批数量</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无数量限制</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八、</w:t>
      </w:r>
      <w:r>
        <w:rPr>
          <w:rFonts w:ascii="黑体" w:hAnsi="黑体" w:eastAsia="黑体"/>
          <w:color w:val="auto"/>
          <w:sz w:val="24"/>
        </w:rPr>
        <w:t>办事条件</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申请人为银行，需同时符合以下条件：</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完成本外币转换后的“（外汇所有者权益+外汇营运资金）／外汇资产”与“（人民币所有者权益+人民币营运资金）／人民币资产”基本相等。</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新开办外汇业务的中资银行或新开办人民币业务的外资银行，首次可申请将不超过10%的资本金进行本外币转换。银行购买外汇资本金或外汇营运资金发展外汇业务的，可依据实际需要申请，不受前述第1 和3 项条件限制。银行业监督管理部门对资本金币种有明确要求或其他特殊情况的，可不受前述第1 和3 项条件限制。银行申请原则上每年不得超过一次。</w:t>
      </w:r>
    </w:p>
    <w:p>
      <w:pPr>
        <w:ind w:firstLine="480" w:firstLineChars="200"/>
        <w:rPr>
          <w:rFonts w:ascii="黑体" w:hAnsi="黑体" w:eastAsia="黑体"/>
          <w:color w:val="auto"/>
          <w:sz w:val="24"/>
        </w:rPr>
      </w:pPr>
      <w:r>
        <w:rPr>
          <w:rFonts w:hint="eastAsia" w:ascii="黑体" w:hAnsi="黑体" w:eastAsia="黑体"/>
          <w:color w:val="auto"/>
          <w:sz w:val="24"/>
        </w:rPr>
        <w:t>九、</w:t>
      </w:r>
      <w:r>
        <w:rPr>
          <w:rFonts w:ascii="黑体" w:hAnsi="黑体" w:eastAsia="黑体"/>
          <w:color w:val="auto"/>
          <w:sz w:val="24"/>
        </w:rPr>
        <w:t>申请材料</w:t>
      </w:r>
    </w:p>
    <w:tbl>
      <w:tblPr>
        <w:tblW w:w="8612"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21"/>
        <w:gridCol w:w="3211"/>
        <w:gridCol w:w="1389"/>
        <w:gridCol w:w="607"/>
        <w:gridCol w:w="1129"/>
        <w:gridCol w:w="1014"/>
        <w:gridCol w:w="741"/>
      </w:tblGrid>
      <w:tr>
        <w:trPr>
          <w:trHeight w:val="340" w:hRule="atLeast"/>
          <w:jc w:val="center"/>
        </w:trPr>
        <w:tc>
          <w:tcPr>
            <w:tcW w:w="521" w:type="dxa"/>
            <w:tcBorders>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序号</w:t>
            </w:r>
          </w:p>
        </w:tc>
        <w:tc>
          <w:tcPr>
            <w:tcW w:w="3211" w:type="dxa"/>
            <w:tcBorders>
              <w:lef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提交材料的名称</w:t>
            </w:r>
          </w:p>
        </w:tc>
        <w:tc>
          <w:tcPr>
            <w:tcW w:w="1389" w:type="dxa"/>
            <w:tcBorders>
              <w:top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原件/复印件</w:t>
            </w:r>
          </w:p>
        </w:tc>
        <w:tc>
          <w:tcPr>
            <w:tcW w:w="607" w:type="dxa"/>
            <w:tcBorders>
              <w:top w:val="single" w:color="auto" w:sz="4" w:space="0"/>
              <w:left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份数</w:t>
            </w:r>
          </w:p>
        </w:tc>
        <w:tc>
          <w:tcPr>
            <w:tcW w:w="1129" w:type="dxa"/>
            <w:tcBorders>
              <w:top w:val="single" w:color="auto" w:sz="4" w:space="0"/>
              <w:lef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纸质/电子</w:t>
            </w:r>
          </w:p>
        </w:tc>
        <w:tc>
          <w:tcPr>
            <w:tcW w:w="1014" w:type="dxa"/>
            <w:tcBorders>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要求</w:t>
            </w:r>
          </w:p>
        </w:tc>
        <w:tc>
          <w:tcPr>
            <w:tcW w:w="741" w:type="dxa"/>
            <w:tcBorders>
              <w:lef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备注</w:t>
            </w:r>
          </w:p>
        </w:tc>
      </w:tr>
      <w:tr>
        <w:trPr>
          <w:trHeight w:val="149" w:hRule="atLeast"/>
          <w:jc w:val="center"/>
        </w:trPr>
        <w:tc>
          <w:tcPr>
            <w:tcW w:w="521" w:type="dxa"/>
            <w:tcBorders>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1</w:t>
            </w:r>
          </w:p>
        </w:tc>
        <w:tc>
          <w:tcPr>
            <w:tcW w:w="3211" w:type="dxa"/>
            <w:tcBorders>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申请报告原件</w:t>
            </w:r>
          </w:p>
        </w:tc>
        <w:tc>
          <w:tcPr>
            <w:tcW w:w="1389" w:type="dxa"/>
            <w:tcBorders>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607" w:type="dxa"/>
            <w:tcBorders>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129" w:type="dxa"/>
            <w:tcBorders>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1014" w:type="dxa"/>
            <w:tcBorders>
              <w:bottom w:val="single" w:color="auto" w:sz="4" w:space="0"/>
              <w:right w:val="single" w:color="auto" w:sz="4" w:space="0"/>
            </w:tcBorders>
            <w:vAlign w:val="center"/>
          </w:tcPr>
          <w:p>
            <w:pPr>
              <w:rPr>
                <w:rFonts w:ascii="Times New Roman" w:hAnsi="Times New Roman" w:eastAsia="仿宋_GB2312"/>
                <w:color w:val="auto"/>
                <w:szCs w:val="21"/>
              </w:rPr>
            </w:pPr>
          </w:p>
        </w:tc>
        <w:tc>
          <w:tcPr>
            <w:tcW w:w="741" w:type="dxa"/>
            <w:tcBorders>
              <w:left w:val="single" w:color="auto" w:sz="4" w:space="0"/>
              <w:bottom w:val="single" w:color="auto" w:sz="4" w:space="0"/>
            </w:tcBorders>
            <w:vAlign w:val="center"/>
          </w:tcPr>
          <w:p>
            <w:pPr>
              <w:rPr>
                <w:rFonts w:ascii="Times New Roman" w:hAnsi="Times New Roman" w:eastAsia="仿宋_GB2312"/>
                <w:color w:val="auto"/>
                <w:szCs w:val="21"/>
              </w:rPr>
            </w:pPr>
          </w:p>
        </w:tc>
      </w:tr>
      <w:tr>
        <w:trPr>
          <w:trHeight w:val="203" w:hRule="atLeast"/>
          <w:jc w:val="center"/>
        </w:trPr>
        <w:tc>
          <w:tcPr>
            <w:tcW w:w="521"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2</w:t>
            </w:r>
          </w:p>
        </w:tc>
        <w:tc>
          <w:tcPr>
            <w:tcW w:w="3211"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人民币和外币资产负债表</w:t>
            </w:r>
          </w:p>
        </w:tc>
        <w:tc>
          <w:tcPr>
            <w:tcW w:w="1389"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6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129"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1014"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741"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p>
        </w:tc>
      </w:tr>
      <w:tr>
        <w:trPr>
          <w:trHeight w:val="103" w:hRule="atLeast"/>
          <w:jc w:val="center"/>
        </w:trPr>
        <w:tc>
          <w:tcPr>
            <w:tcW w:w="521"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3</w:t>
            </w:r>
          </w:p>
        </w:tc>
        <w:tc>
          <w:tcPr>
            <w:tcW w:w="3211"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本外币转换金额的测算依据</w:t>
            </w:r>
          </w:p>
        </w:tc>
        <w:tc>
          <w:tcPr>
            <w:tcW w:w="1389"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原件</w:t>
            </w:r>
          </w:p>
        </w:tc>
        <w:tc>
          <w:tcPr>
            <w:tcW w:w="6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1129"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1014" w:type="dxa"/>
            <w:tcBorders>
              <w:top w:val="single" w:color="auto" w:sz="4" w:space="0"/>
              <w:bottom w:val="single" w:color="auto" w:sz="4" w:space="0"/>
              <w:right w:val="single" w:color="auto" w:sz="4" w:space="0"/>
            </w:tcBorders>
            <w:vAlign w:val="center"/>
          </w:tcPr>
          <w:p>
            <w:pPr>
              <w:rPr>
                <w:rFonts w:ascii="Times New Roman" w:hAnsi="Times New Roman" w:eastAsia="仿宋_GB2312"/>
                <w:color w:val="auto"/>
                <w:szCs w:val="21"/>
              </w:rPr>
            </w:pPr>
          </w:p>
        </w:tc>
        <w:tc>
          <w:tcPr>
            <w:tcW w:w="741" w:type="dxa"/>
            <w:tcBorders>
              <w:top w:val="single" w:color="auto" w:sz="4" w:space="0"/>
              <w:left w:val="single" w:color="auto" w:sz="4" w:space="0"/>
              <w:bottom w:val="single" w:color="auto" w:sz="4" w:space="0"/>
            </w:tcBorders>
            <w:vAlign w:val="center"/>
          </w:tcPr>
          <w:p>
            <w:pPr>
              <w:rPr>
                <w:rFonts w:ascii="Times New Roman" w:hAnsi="Times New Roman" w:eastAsia="仿宋_GB2312"/>
                <w:color w:val="auto"/>
                <w:szCs w:val="21"/>
              </w:rPr>
            </w:pPr>
          </w:p>
        </w:tc>
      </w:tr>
      <w:tr>
        <w:trPr>
          <w:trHeight w:val="157" w:hRule="atLeast"/>
          <w:jc w:val="center"/>
        </w:trPr>
        <w:tc>
          <w:tcPr>
            <w:tcW w:w="521" w:type="dxa"/>
            <w:tcBorders>
              <w:top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4</w:t>
            </w:r>
          </w:p>
        </w:tc>
        <w:tc>
          <w:tcPr>
            <w:tcW w:w="3211" w:type="dxa"/>
            <w:tcBorders>
              <w:top w:val="single" w:color="auto" w:sz="4" w:space="0"/>
              <w:lef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相关交易需经银行业监督管理部门批准的，应提供相应批准文件的复印件。</w:t>
            </w:r>
          </w:p>
        </w:tc>
        <w:tc>
          <w:tcPr>
            <w:tcW w:w="1389" w:type="dxa"/>
            <w:tcBorders>
              <w:top w:val="single" w:color="auto" w:sz="4" w:space="0"/>
              <w:righ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加盖企业公章的复印件</w:t>
            </w:r>
          </w:p>
        </w:tc>
        <w:tc>
          <w:tcPr>
            <w:tcW w:w="607" w:type="dxa"/>
            <w:tcBorders>
              <w:top w:val="single" w:color="auto" w:sz="4" w:space="0"/>
              <w:left w:val="single" w:color="auto" w:sz="4" w:space="0"/>
              <w:right w:val="single" w:color="auto" w:sz="4" w:space="0"/>
            </w:tcBorders>
            <w:vAlign w:val="center"/>
          </w:tcPr>
          <w:p>
            <w:pPr>
              <w:rPr>
                <w:rFonts w:ascii="Times New Roman" w:hAnsi="Times New Roman" w:eastAsia="仿宋_GB2312"/>
                <w:color w:val="auto"/>
                <w:szCs w:val="21"/>
              </w:rPr>
            </w:pPr>
          </w:p>
        </w:tc>
        <w:tc>
          <w:tcPr>
            <w:tcW w:w="1129" w:type="dxa"/>
            <w:tcBorders>
              <w:top w:val="single" w:color="auto" w:sz="4" w:space="0"/>
              <w:left w:val="single" w:color="auto" w:sz="4" w:space="0"/>
            </w:tcBorders>
            <w:vAlign w:val="center"/>
          </w:tcPr>
          <w:p>
            <w:pPr>
              <w:rPr>
                <w:rFonts w:ascii="Times New Roman" w:hAnsi="Times New Roman" w:eastAsia="仿宋_GB2312"/>
                <w:color w:val="auto"/>
                <w:szCs w:val="21"/>
              </w:rPr>
            </w:pPr>
            <w:r>
              <w:rPr>
                <w:rFonts w:ascii="Times New Roman" w:hAnsi="Times New Roman" w:eastAsia="仿宋_GB2312"/>
                <w:color w:val="auto"/>
                <w:szCs w:val="21"/>
              </w:rPr>
              <w:t>纸质</w:t>
            </w:r>
          </w:p>
        </w:tc>
        <w:tc>
          <w:tcPr>
            <w:tcW w:w="1014" w:type="dxa"/>
            <w:tcBorders>
              <w:top w:val="single" w:color="auto" w:sz="4" w:space="0"/>
              <w:right w:val="single" w:color="auto" w:sz="4" w:space="0"/>
            </w:tcBorders>
            <w:vAlign w:val="center"/>
          </w:tcPr>
          <w:p>
            <w:pPr>
              <w:rPr>
                <w:rFonts w:ascii="Times New Roman" w:hAnsi="Times New Roman" w:eastAsia="仿宋_GB2312"/>
                <w:color w:val="auto"/>
                <w:szCs w:val="21"/>
              </w:rPr>
            </w:pPr>
          </w:p>
        </w:tc>
        <w:tc>
          <w:tcPr>
            <w:tcW w:w="741" w:type="dxa"/>
            <w:tcBorders>
              <w:top w:val="single" w:color="auto" w:sz="4" w:space="0"/>
              <w:left w:val="single" w:color="auto" w:sz="4" w:space="0"/>
            </w:tcBorders>
            <w:vAlign w:val="center"/>
          </w:tcPr>
          <w:p>
            <w:pPr>
              <w:rPr>
                <w:rFonts w:ascii="Times New Roman" w:hAnsi="Times New Roman" w:eastAsia="仿宋_GB2312"/>
                <w:color w:val="auto"/>
                <w:szCs w:val="21"/>
              </w:rPr>
            </w:pPr>
          </w:p>
        </w:tc>
      </w:tr>
    </w:tbl>
    <w:p>
      <w:pPr>
        <w:spacing w:beforeLines="50"/>
        <w:ind w:firstLine="480" w:firstLineChars="200"/>
        <w:rPr>
          <w:rFonts w:ascii="黑体" w:hAnsi="黑体" w:eastAsia="黑体"/>
          <w:color w:val="auto"/>
          <w:sz w:val="24"/>
        </w:rPr>
      </w:pPr>
      <w:r>
        <w:rPr>
          <w:rFonts w:hint="eastAsia" w:ascii="黑体" w:hAnsi="黑体" w:eastAsia="黑体"/>
          <w:color w:val="auto"/>
          <w:sz w:val="24"/>
        </w:rPr>
        <w:t>十、</w:t>
      </w:r>
      <w:r>
        <w:rPr>
          <w:rFonts w:ascii="黑体" w:hAnsi="黑体" w:eastAsia="黑体"/>
          <w:color w:val="auto"/>
          <w:sz w:val="24"/>
        </w:rPr>
        <w:t>申请接受</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申请人可通过窗口、邮寄等方式提交材料。</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邮寄地址：合肥市滨湖新区洞庭湖路3366号，邮政编码230091。</w:t>
      </w:r>
    </w:p>
    <w:p>
      <w:pPr>
        <w:ind w:firstLine="480" w:firstLineChars="200"/>
        <w:rPr>
          <w:rFonts w:ascii="黑体" w:hAnsi="黑体" w:eastAsia="黑体"/>
          <w:color w:val="auto"/>
          <w:sz w:val="24"/>
        </w:rPr>
      </w:pPr>
      <w:r>
        <w:rPr>
          <w:rFonts w:hint="eastAsia" w:ascii="黑体" w:hAnsi="黑体" w:eastAsia="黑体"/>
          <w:color w:val="auto"/>
          <w:sz w:val="24"/>
        </w:rPr>
        <w:t>十一、</w:t>
      </w:r>
      <w:r>
        <w:rPr>
          <w:rFonts w:ascii="黑体" w:hAnsi="黑体" w:eastAsia="黑体"/>
          <w:color w:val="auto"/>
          <w:sz w:val="24"/>
        </w:rPr>
        <w:t>基本办理流程</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申请人提交申请；</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决定是否予以受理；</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（四）</w:t>
      </w:r>
      <w:r>
        <w:rPr>
          <w:rFonts w:ascii="Times New Roman" w:hAnsi="Times New Roman" w:eastAsia="仿宋_GB2312"/>
          <w:color w:val="auto"/>
          <w:sz w:val="24"/>
        </w:rPr>
        <w:t>材料不全或不符合法定形式的，一次性告知补正材料，并出具《行政许可补正通知书》。</w:t>
      </w:r>
    </w:p>
    <w:p>
      <w:pPr>
        <w:ind w:firstLine="480" w:firstLineChars="200"/>
        <w:rPr>
          <w:rFonts w:ascii="黑体" w:hAnsi="黑体" w:eastAsia="黑体"/>
          <w:color w:val="auto"/>
          <w:sz w:val="24"/>
        </w:rPr>
      </w:pPr>
      <w:r>
        <w:rPr>
          <w:rFonts w:hint="eastAsia" w:ascii="黑体" w:hAnsi="黑体" w:eastAsia="黑体"/>
          <w:color w:val="auto"/>
          <w:sz w:val="24"/>
        </w:rPr>
        <w:t>十二、</w:t>
      </w:r>
      <w:r>
        <w:rPr>
          <w:rFonts w:ascii="黑体" w:hAnsi="黑体" w:eastAsia="黑体"/>
          <w:color w:val="auto"/>
          <w:sz w:val="24"/>
        </w:rPr>
        <w:t>办理方式</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一般程序：申请、受理、审查、决定、出具正式公文。</w:t>
      </w:r>
    </w:p>
    <w:p>
      <w:pPr>
        <w:ind w:firstLine="480" w:firstLineChars="200"/>
        <w:rPr>
          <w:rFonts w:ascii="黑体" w:hAnsi="黑体" w:eastAsia="黑体"/>
          <w:color w:val="auto"/>
          <w:sz w:val="24"/>
        </w:rPr>
      </w:pPr>
      <w:r>
        <w:rPr>
          <w:rFonts w:hint="eastAsia" w:ascii="黑体" w:hAnsi="黑体" w:eastAsia="黑体"/>
          <w:color w:val="auto"/>
          <w:sz w:val="24"/>
        </w:rPr>
        <w:t>十三、</w:t>
      </w:r>
      <w:r>
        <w:rPr>
          <w:rFonts w:ascii="黑体" w:hAnsi="黑体" w:eastAsia="黑体"/>
          <w:color w:val="auto"/>
          <w:sz w:val="24"/>
        </w:rPr>
        <w:t>审批时限</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法定时限20个工作日。</w:t>
      </w:r>
    </w:p>
    <w:p>
      <w:pPr>
        <w:ind w:firstLine="480" w:firstLineChars="200"/>
        <w:rPr>
          <w:rFonts w:ascii="黑体" w:hAnsi="黑体" w:eastAsia="黑体"/>
          <w:color w:val="auto"/>
          <w:sz w:val="24"/>
        </w:rPr>
      </w:pPr>
      <w:r>
        <w:rPr>
          <w:rFonts w:hint="eastAsia" w:ascii="黑体" w:hAnsi="黑体" w:eastAsia="黑体"/>
          <w:color w:val="auto"/>
          <w:sz w:val="24"/>
        </w:rPr>
        <w:t>十四、</w:t>
      </w:r>
      <w:r>
        <w:rPr>
          <w:rFonts w:ascii="黑体" w:hAnsi="黑体" w:eastAsia="黑体"/>
          <w:color w:val="auto"/>
          <w:sz w:val="24"/>
        </w:rPr>
        <w:t>审批收费依据及标准</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不收费。</w:t>
      </w:r>
    </w:p>
    <w:p>
      <w:pPr>
        <w:ind w:firstLine="480" w:firstLineChars="200"/>
        <w:rPr>
          <w:rFonts w:ascii="黑体" w:hAnsi="黑体" w:eastAsia="黑体"/>
          <w:color w:val="auto"/>
          <w:sz w:val="24"/>
        </w:rPr>
      </w:pPr>
      <w:r>
        <w:rPr>
          <w:rFonts w:hint="eastAsia" w:ascii="黑体" w:hAnsi="黑体" w:eastAsia="黑体"/>
          <w:color w:val="auto"/>
          <w:sz w:val="24"/>
        </w:rPr>
        <w:t>十五、</w:t>
      </w:r>
      <w:r>
        <w:rPr>
          <w:rFonts w:ascii="黑体" w:hAnsi="黑体" w:eastAsia="黑体"/>
          <w:color w:val="auto"/>
          <w:sz w:val="24"/>
        </w:rPr>
        <w:t>审批结果</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正式公文。</w:t>
      </w:r>
    </w:p>
    <w:p>
      <w:pPr>
        <w:ind w:firstLine="480" w:firstLineChars="200"/>
        <w:rPr>
          <w:rFonts w:ascii="黑体" w:hAnsi="黑体" w:eastAsia="黑体"/>
          <w:color w:val="auto"/>
          <w:sz w:val="24"/>
        </w:rPr>
      </w:pPr>
      <w:r>
        <w:rPr>
          <w:rFonts w:hint="eastAsia" w:ascii="黑体" w:hAnsi="黑体" w:eastAsia="黑体"/>
          <w:color w:val="auto"/>
          <w:sz w:val="24"/>
        </w:rPr>
        <w:t>十六、</w:t>
      </w:r>
      <w:r>
        <w:rPr>
          <w:rFonts w:ascii="黑体" w:hAnsi="黑体" w:eastAsia="黑体"/>
          <w:color w:val="auto"/>
          <w:sz w:val="24"/>
        </w:rPr>
        <w:t>结果送达</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通过现场告知或电话通知申请人，并通过现场领取或邮寄方式将结果送达。</w:t>
      </w:r>
    </w:p>
    <w:p>
      <w:pPr>
        <w:ind w:firstLine="480" w:firstLineChars="200"/>
        <w:rPr>
          <w:rFonts w:ascii="黑体" w:hAnsi="黑体" w:eastAsia="黑体"/>
          <w:color w:val="auto"/>
          <w:sz w:val="24"/>
        </w:rPr>
      </w:pPr>
      <w:r>
        <w:rPr>
          <w:rFonts w:hint="eastAsia" w:ascii="黑体" w:hAnsi="黑体" w:eastAsia="黑体"/>
          <w:color w:val="auto"/>
          <w:sz w:val="24"/>
        </w:rPr>
        <w:t>十七、</w:t>
      </w:r>
      <w:r>
        <w:rPr>
          <w:rFonts w:ascii="黑体" w:hAnsi="黑体" w:eastAsia="黑体"/>
          <w:color w:val="auto"/>
          <w:sz w:val="24"/>
        </w:rPr>
        <w:t>申请人权利和义务</w:t>
      </w:r>
    </w:p>
    <w:p>
      <w:pPr>
        <w:ind w:firstLine="480" w:firstLineChars="200"/>
        <w:rPr>
          <w:rFonts w:ascii="黑体" w:hAnsi="黑体" w:eastAsia="黑体"/>
          <w:color w:val="auto"/>
          <w:sz w:val="24"/>
        </w:rPr>
      </w:pPr>
      <w:r>
        <w:rPr>
          <w:rFonts w:ascii="Times New Roman" w:hAnsi="Times New Roman" w:eastAsia="仿宋_GB2312"/>
          <w:color w:val="auto"/>
          <w:sz w:val="24"/>
        </w:rPr>
        <w:t>申请人有权依法提出行政审批申请，依法进行投诉、举报、复议、诉讼等。申请人有义务保证申请材料完整、真实、准确，获批后合法合规办理相关业务。</w:t>
      </w:r>
    </w:p>
    <w:p>
      <w:pPr>
        <w:ind w:firstLine="480" w:firstLineChars="200"/>
        <w:rPr>
          <w:rFonts w:ascii="黑体" w:hAnsi="黑体" w:eastAsia="黑体"/>
          <w:color w:val="auto"/>
          <w:sz w:val="24"/>
        </w:rPr>
      </w:pPr>
      <w:r>
        <w:rPr>
          <w:rFonts w:hint="eastAsia" w:ascii="黑体" w:hAnsi="黑体" w:eastAsia="黑体"/>
          <w:color w:val="auto"/>
          <w:sz w:val="24"/>
        </w:rPr>
        <w:t>十八、</w:t>
      </w:r>
      <w:r>
        <w:rPr>
          <w:rFonts w:ascii="黑体" w:hAnsi="黑体" w:eastAsia="黑体"/>
          <w:color w:val="auto"/>
          <w:sz w:val="24"/>
        </w:rPr>
        <w:t>事项审查类型</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十九、</w:t>
      </w:r>
      <w:r>
        <w:rPr>
          <w:rFonts w:ascii="黑体" w:hAnsi="黑体" w:eastAsia="黑体"/>
          <w:color w:val="auto"/>
          <w:sz w:val="24"/>
        </w:rPr>
        <w:t>办公地址和时间</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黑体" w:hAnsi="黑体" w:eastAsia="黑体"/>
          <w:color w:val="auto"/>
          <w:sz w:val="24"/>
        </w:rPr>
      </w:pPr>
      <w:r>
        <w:rPr>
          <w:rFonts w:hint="eastAsia" w:ascii="黑体" w:hAnsi="黑体" w:eastAsia="黑体"/>
          <w:color w:val="auto"/>
          <w:sz w:val="24"/>
        </w:rPr>
        <w:t>二十、</w:t>
      </w:r>
      <w:r>
        <w:rPr>
          <w:rFonts w:ascii="黑体" w:hAnsi="黑体" w:eastAsia="黑体"/>
          <w:color w:val="auto"/>
          <w:sz w:val="24"/>
        </w:rPr>
        <w:t>禁止性要求</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如符合上述条件，不存在不予许可的情况。</w:t>
      </w:r>
    </w:p>
    <w:p>
      <w:pPr>
        <w:ind w:firstLine="480" w:firstLineChars="200"/>
        <w:rPr>
          <w:rFonts w:ascii="黑体" w:hAnsi="黑体" w:eastAsia="黑体"/>
          <w:color w:val="auto"/>
          <w:sz w:val="24"/>
        </w:rPr>
      </w:pPr>
      <w:r>
        <w:rPr>
          <w:rFonts w:hint="eastAsia" w:ascii="黑体" w:hAnsi="黑体" w:eastAsia="黑体"/>
          <w:color w:val="auto"/>
          <w:sz w:val="24"/>
        </w:rPr>
        <w:t>二十一、</w:t>
      </w:r>
      <w:r>
        <w:rPr>
          <w:rFonts w:ascii="黑体" w:hAnsi="黑体" w:eastAsia="黑体"/>
          <w:color w:val="auto"/>
          <w:sz w:val="24"/>
        </w:rPr>
        <w:t>咨询途径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二十二、</w:t>
      </w:r>
      <w:r>
        <w:rPr>
          <w:rFonts w:ascii="黑体" w:hAnsi="黑体" w:eastAsia="黑体"/>
          <w:color w:val="auto"/>
          <w:sz w:val="24"/>
        </w:rPr>
        <w:t>办理进程和结果公开查询</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二十三、</w:t>
      </w:r>
      <w:r>
        <w:rPr>
          <w:rFonts w:ascii="黑体" w:hAnsi="黑体" w:eastAsia="黑体"/>
          <w:color w:val="auto"/>
          <w:sz w:val="24"/>
        </w:rPr>
        <w:t>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二十四、</w:t>
      </w:r>
      <w:r>
        <w:rPr>
          <w:rFonts w:ascii="黑体" w:hAnsi="黑体" w:eastAsia="黑体"/>
          <w:color w:val="auto"/>
          <w:sz w:val="24"/>
        </w:rPr>
        <w:t>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无固定格式，但需要包括：申请报告、人民币和外币资产负债表、本外币转换金额的测算依据、相关交易需经银行业监督管理部门批准的应提供相应批准文件的复印件。</w:t>
      </w:r>
    </w:p>
    <w:p>
      <w:pPr>
        <w:ind w:firstLine="480" w:firstLineChars="200"/>
        <w:rPr>
          <w:rFonts w:ascii="黑体" w:hAnsi="黑体" w:eastAsia="黑体"/>
          <w:color w:val="auto"/>
          <w:sz w:val="24"/>
        </w:rPr>
      </w:pPr>
      <w:r>
        <w:rPr>
          <w:rFonts w:hint="eastAsia" w:ascii="黑体" w:hAnsi="黑体" w:eastAsia="黑体"/>
          <w:color w:val="auto"/>
          <w:sz w:val="24"/>
        </w:rPr>
        <w:t>二十五、</w:t>
      </w:r>
      <w:r>
        <w:rPr>
          <w:rFonts w:ascii="黑体" w:hAnsi="黑体" w:eastAsia="黑体"/>
          <w:color w:val="auto"/>
          <w:sz w:val="24"/>
        </w:rPr>
        <w:t>常见问题解答</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法定时限在20 个工作日以内。</w:t>
      </w:r>
    </w:p>
    <w:p>
      <w:pPr>
        <w:pStyle w:val="2"/>
        <w:ind w:firstLine="0" w:firstLineChars="0"/>
        <w:jc w:val="center"/>
        <w:rPr>
          <w:color w:val="auto"/>
          <w:sz w:val="36"/>
        </w:rPr>
      </w:pPr>
      <w:bookmarkStart w:id="27" w:name="_Toc21278"/>
      <w:bookmarkStart w:id="28" w:name="_Toc25264"/>
    </w:p>
    <w:p>
      <w:pPr>
        <w:pStyle w:val="2"/>
        <w:ind w:firstLine="0" w:firstLineChars="0"/>
        <w:jc w:val="center"/>
        <w:rPr>
          <w:color w:val="auto"/>
          <w:sz w:val="36"/>
        </w:rPr>
        <w:sectPr>
          <w:pgSz w:w="11849" w:h="16781"/>
          <w:pgMar w:top="1440" w:right="1800" w:bottom="1440" w:left="1800" w:header="720" w:footer="720" w:gutter="0"/>
          <w:pgNumType w:fmt="decimal"/>
          <w:cols w:space="720" w:num="1"/>
        </w:sectPr>
      </w:pPr>
    </w:p>
    <w:p>
      <w:pPr>
        <w:pStyle w:val="2"/>
        <w:ind w:firstLine="0" w:firstLineChars="0"/>
        <w:jc w:val="center"/>
        <w:rPr>
          <w:color w:val="auto"/>
          <w:sz w:val="36"/>
        </w:rPr>
      </w:pPr>
      <w:bookmarkStart w:id="29" w:name="_Toc8098"/>
      <w:r>
        <w:rPr>
          <w:rFonts w:hint="eastAsia"/>
          <w:color w:val="auto"/>
          <w:sz w:val="36"/>
        </w:rPr>
        <w:t>银行调运外币现钞进出境业务市场</w:t>
      </w:r>
      <w:bookmarkEnd w:id="27"/>
      <w:bookmarkEnd w:id="28"/>
      <w:bookmarkStart w:id="30" w:name="_Toc13430"/>
      <w:bookmarkStart w:id="31" w:name="_Toc11092"/>
      <w:r>
        <w:rPr>
          <w:rFonts w:hint="eastAsia"/>
          <w:color w:val="auto"/>
          <w:sz w:val="36"/>
        </w:rPr>
        <w:br/>
      </w:r>
      <w:r>
        <w:rPr>
          <w:rFonts w:hint="eastAsia"/>
          <w:color w:val="auto"/>
          <w:sz w:val="36"/>
        </w:rPr>
        <w:t>准入审批</w:t>
      </w:r>
      <w:bookmarkEnd w:id="29"/>
      <w:bookmarkEnd w:id="30"/>
      <w:bookmarkEnd w:id="31"/>
    </w:p>
    <w:p>
      <w:pPr>
        <w:ind w:firstLine="480" w:firstLineChars="200"/>
        <w:rPr>
          <w:rFonts w:ascii="黑体" w:hAnsi="黑体" w:eastAsia="黑体"/>
          <w:color w:val="auto"/>
          <w:sz w:val="24"/>
        </w:rPr>
      </w:pPr>
      <w:r>
        <w:rPr>
          <w:rFonts w:hint="eastAsia" w:ascii="黑体" w:hAnsi="黑体" w:eastAsia="黑体"/>
          <w:color w:val="auto"/>
          <w:sz w:val="24"/>
        </w:rPr>
        <w:t>一、项目信息</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项目名称：外币现钞提取、调运和携带出境审核；</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子项名称：银行调运外币现钞进出境业务市场准入审批；</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审批类别：行政许可。</w:t>
      </w:r>
    </w:p>
    <w:p>
      <w:pPr>
        <w:ind w:firstLine="480" w:firstLineChars="200"/>
        <w:rPr>
          <w:rFonts w:ascii="黑体" w:hAnsi="黑体" w:eastAsia="黑体"/>
          <w:color w:val="auto"/>
          <w:sz w:val="24"/>
        </w:rPr>
      </w:pPr>
      <w:r>
        <w:rPr>
          <w:rFonts w:hint="eastAsia" w:ascii="黑体" w:hAnsi="黑体" w:eastAsia="黑体"/>
          <w:color w:val="auto"/>
          <w:sz w:val="24"/>
        </w:rPr>
        <w:t>二、适用范围</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本指南适用于“外币现钞提取、调运和携带出境审核”的申请和办理。</w:t>
      </w:r>
    </w:p>
    <w:p>
      <w:pPr>
        <w:ind w:firstLine="480" w:firstLineChars="200"/>
        <w:rPr>
          <w:rFonts w:ascii="黑体" w:hAnsi="黑体" w:eastAsia="黑体"/>
          <w:color w:val="auto"/>
          <w:sz w:val="24"/>
        </w:rPr>
      </w:pPr>
      <w:r>
        <w:rPr>
          <w:rFonts w:hint="eastAsia" w:ascii="黑体" w:hAnsi="黑体" w:eastAsia="黑体"/>
          <w:color w:val="auto"/>
          <w:sz w:val="24"/>
        </w:rPr>
        <w:t>三、设定依据</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（一）《中华人民共和国外汇管理条例》（国务院令第532 号）第十五条：“携带、申报外币现钞出入境的限额，由国务院外汇管理部门规定”；</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（二）《国务院对确需保留的行政审批项目设定行政许可的决定》（国务院令第412 号）附件第495 项“机构单笔提取超过规定金额外币现钞审批”。</w:t>
      </w:r>
    </w:p>
    <w:p>
      <w:pPr>
        <w:ind w:firstLine="480" w:firstLineChars="200"/>
        <w:rPr>
          <w:rFonts w:ascii="黑体" w:hAnsi="黑体" w:eastAsia="黑体"/>
          <w:color w:val="auto"/>
          <w:sz w:val="24"/>
        </w:rPr>
      </w:pPr>
      <w:r>
        <w:rPr>
          <w:rFonts w:hint="eastAsia" w:ascii="黑体" w:hAnsi="黑体" w:eastAsia="黑体"/>
          <w:color w:val="auto"/>
          <w:sz w:val="24"/>
        </w:rPr>
        <w:t>四、办理依据</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《中华人民共和国外汇管理条例》（国务院令第532 号）；</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《国家外汇管理局海关总署关于印发〈调运外币现钞进出境管理规定〉的通知》（汇发〔2019〕16号）。</w:t>
      </w:r>
    </w:p>
    <w:p>
      <w:pPr>
        <w:ind w:firstLine="480" w:firstLineChars="200"/>
        <w:rPr>
          <w:rFonts w:ascii="黑体" w:hAnsi="黑体" w:eastAsia="黑体"/>
          <w:color w:val="auto"/>
          <w:sz w:val="24"/>
        </w:rPr>
      </w:pPr>
      <w:r>
        <w:rPr>
          <w:rFonts w:hint="eastAsia" w:ascii="黑体" w:hAnsi="黑体" w:eastAsia="黑体"/>
          <w:color w:val="auto"/>
          <w:sz w:val="24"/>
        </w:rPr>
        <w:t>五、受理机构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p>
    <w:p>
      <w:pPr>
        <w:ind w:firstLine="480" w:firstLineChars="200"/>
        <w:rPr>
          <w:rFonts w:ascii="黑体" w:hAnsi="黑体" w:eastAsia="黑体"/>
          <w:color w:val="auto"/>
          <w:sz w:val="24"/>
        </w:rPr>
      </w:pPr>
      <w:r>
        <w:rPr>
          <w:rFonts w:hint="eastAsia" w:ascii="黑体" w:hAnsi="黑体" w:eastAsia="黑体"/>
          <w:color w:val="auto"/>
          <w:sz w:val="24"/>
        </w:rPr>
        <w:t>六、决定机构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国家外汇管理局及申请人所在地国家外汇管理局分局。</w:t>
      </w:r>
    </w:p>
    <w:p>
      <w:pPr>
        <w:ind w:firstLine="480" w:firstLineChars="200"/>
        <w:rPr>
          <w:rFonts w:ascii="黑体" w:hAnsi="黑体" w:eastAsia="黑体"/>
          <w:color w:val="auto"/>
          <w:sz w:val="24"/>
        </w:rPr>
      </w:pPr>
      <w:r>
        <w:rPr>
          <w:rFonts w:hint="eastAsia" w:ascii="黑体" w:hAnsi="黑体" w:eastAsia="黑体"/>
          <w:color w:val="auto"/>
          <w:sz w:val="24"/>
        </w:rPr>
        <w:t>七、审批数量</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无数量限制。</w:t>
      </w:r>
    </w:p>
    <w:p>
      <w:pPr>
        <w:ind w:firstLine="480" w:firstLineChars="200"/>
        <w:rPr>
          <w:rFonts w:ascii="黑体" w:hAnsi="黑体" w:eastAsia="黑体"/>
          <w:color w:val="auto"/>
          <w:sz w:val="24"/>
        </w:rPr>
      </w:pPr>
      <w:r>
        <w:rPr>
          <w:rFonts w:hint="eastAsia" w:ascii="黑体" w:hAnsi="黑体" w:eastAsia="黑体"/>
          <w:color w:val="auto"/>
          <w:sz w:val="24"/>
        </w:rPr>
        <w:t>八、办事条件</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申请人为银行，需有调运外币现钞进出境的实际需求。</w:t>
      </w:r>
    </w:p>
    <w:p>
      <w:pPr>
        <w:ind w:firstLine="480" w:firstLineChars="200"/>
        <w:rPr>
          <w:rFonts w:ascii="黑体" w:hAnsi="黑体" w:eastAsia="黑体"/>
          <w:color w:val="auto"/>
          <w:sz w:val="24"/>
        </w:rPr>
      </w:pPr>
      <w:r>
        <w:rPr>
          <w:rFonts w:hint="eastAsia" w:ascii="黑体" w:hAnsi="黑体" w:eastAsia="黑体"/>
          <w:color w:val="auto"/>
          <w:sz w:val="24"/>
        </w:rPr>
        <w:t>九、申请材料</w:t>
      </w:r>
    </w:p>
    <w:tbl>
      <w:tblPr>
        <w:tblW w:w="8612"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83"/>
        <w:gridCol w:w="4012"/>
        <w:gridCol w:w="1251"/>
        <w:gridCol w:w="513"/>
        <w:gridCol w:w="1024"/>
        <w:gridCol w:w="512"/>
        <w:gridCol w:w="617"/>
      </w:tblGrid>
      <w:tr>
        <w:trPr>
          <w:jc w:val="center"/>
        </w:trPr>
        <w:tc>
          <w:tcPr>
            <w:tcW w:w="683"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4012" w:type="dxa"/>
            <w:tcBorders>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提交材料名称</w:t>
            </w:r>
          </w:p>
        </w:tc>
        <w:tc>
          <w:tcPr>
            <w:tcW w:w="1251" w:type="dxa"/>
            <w:tcBorders>
              <w:lef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原件/复印件</w:t>
            </w:r>
          </w:p>
        </w:tc>
        <w:tc>
          <w:tcPr>
            <w:tcW w:w="513" w:type="dxa"/>
            <w:tcBorders>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份数</w:t>
            </w:r>
          </w:p>
        </w:tc>
        <w:tc>
          <w:tcPr>
            <w:tcW w:w="1024" w:type="dxa"/>
            <w:tcBorders>
              <w:lef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纸质/电子</w:t>
            </w:r>
          </w:p>
        </w:tc>
        <w:tc>
          <w:tcPr>
            <w:tcW w:w="512"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要求</w:t>
            </w:r>
          </w:p>
        </w:tc>
        <w:tc>
          <w:tcPr>
            <w:tcW w:w="617"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备注</w:t>
            </w:r>
          </w:p>
        </w:tc>
      </w:tr>
      <w:tr>
        <w:trPr>
          <w:trHeight w:val="204" w:hRule="atLeast"/>
          <w:jc w:val="center"/>
        </w:trPr>
        <w:tc>
          <w:tcPr>
            <w:tcW w:w="683" w:type="dxa"/>
            <w:tcBorders>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4012" w:type="dxa"/>
            <w:tcBorders>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银行办理调运外币现钞进出境业务备案表</w:t>
            </w:r>
          </w:p>
        </w:tc>
        <w:tc>
          <w:tcPr>
            <w:tcW w:w="1251" w:type="dxa"/>
            <w:tcBorders>
              <w:left w:val="single" w:color="auto" w:sz="4" w:space="0"/>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tc>
        <w:tc>
          <w:tcPr>
            <w:tcW w:w="513" w:type="dxa"/>
            <w:tcBorders>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1024" w:type="dxa"/>
            <w:tcBorders>
              <w:left w:val="single" w:color="auto" w:sz="4" w:space="0"/>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纸质</w:t>
            </w:r>
          </w:p>
        </w:tc>
        <w:tc>
          <w:tcPr>
            <w:tcW w:w="512" w:type="dxa"/>
            <w:tcBorders>
              <w:bottom w:val="single" w:color="auto" w:sz="4" w:space="0"/>
            </w:tcBorders>
            <w:vAlign w:val="center"/>
          </w:tcPr>
          <w:p>
            <w:pPr>
              <w:rPr>
                <w:rFonts w:ascii="仿宋_GB2312" w:hAnsi="仿宋_GB2312" w:eastAsia="仿宋_GB2312" w:cs="仿宋_GB2312"/>
                <w:color w:val="auto"/>
                <w:szCs w:val="21"/>
              </w:rPr>
            </w:pPr>
          </w:p>
        </w:tc>
        <w:tc>
          <w:tcPr>
            <w:tcW w:w="617" w:type="dxa"/>
            <w:tcBorders>
              <w:bottom w:val="single" w:color="auto" w:sz="4" w:space="0"/>
            </w:tcBorders>
            <w:vAlign w:val="center"/>
          </w:tcPr>
          <w:p>
            <w:pPr>
              <w:rPr>
                <w:rFonts w:ascii="仿宋_GB2312" w:hAnsi="仿宋_GB2312" w:eastAsia="仿宋_GB2312" w:cs="仿宋_GB2312"/>
                <w:color w:val="auto"/>
                <w:szCs w:val="21"/>
              </w:rPr>
            </w:pPr>
          </w:p>
        </w:tc>
      </w:tr>
      <w:tr>
        <w:trPr>
          <w:trHeight w:val="163" w:hRule="atLeast"/>
          <w:jc w:val="center"/>
        </w:trPr>
        <w:tc>
          <w:tcPr>
            <w:tcW w:w="683" w:type="dxa"/>
            <w:tcBorders>
              <w:top w:val="single" w:color="auto" w:sz="4" w:space="0"/>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w:t>
            </w:r>
          </w:p>
        </w:tc>
        <w:tc>
          <w:tcPr>
            <w:tcW w:w="4012" w:type="dxa"/>
            <w:tcBorders>
              <w:top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可行性报告和业务计划书</w:t>
            </w:r>
          </w:p>
        </w:tc>
        <w:tc>
          <w:tcPr>
            <w:tcW w:w="1251"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tc>
        <w:tc>
          <w:tcPr>
            <w:tcW w:w="513" w:type="dxa"/>
            <w:tcBorders>
              <w:top w:val="single" w:color="auto" w:sz="4" w:space="0"/>
              <w:bottom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024" w:type="dxa"/>
            <w:tcBorders>
              <w:top w:val="single" w:color="auto" w:sz="4" w:space="0"/>
              <w:left w:val="single" w:color="auto" w:sz="4" w:space="0"/>
              <w:bottom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纸质</w:t>
            </w:r>
          </w:p>
        </w:tc>
        <w:tc>
          <w:tcPr>
            <w:tcW w:w="512" w:type="dxa"/>
            <w:tcBorders>
              <w:top w:val="single" w:color="auto" w:sz="4" w:space="0"/>
              <w:bottom w:val="single" w:color="auto" w:sz="4" w:space="0"/>
            </w:tcBorders>
            <w:vAlign w:val="center"/>
          </w:tcPr>
          <w:p>
            <w:pPr>
              <w:rPr>
                <w:rFonts w:ascii="仿宋_GB2312" w:hAnsi="仿宋_GB2312" w:eastAsia="仿宋_GB2312" w:cs="仿宋_GB2312"/>
                <w:color w:val="auto"/>
                <w:szCs w:val="21"/>
              </w:rPr>
            </w:pPr>
          </w:p>
        </w:tc>
        <w:tc>
          <w:tcPr>
            <w:tcW w:w="617" w:type="dxa"/>
            <w:tcBorders>
              <w:top w:val="single" w:color="auto" w:sz="4" w:space="0"/>
              <w:bottom w:val="single" w:color="auto" w:sz="4" w:space="0"/>
            </w:tcBorders>
            <w:vAlign w:val="center"/>
          </w:tcPr>
          <w:p>
            <w:pPr>
              <w:rPr>
                <w:rFonts w:ascii="仿宋_GB2312" w:hAnsi="仿宋_GB2312" w:eastAsia="仿宋_GB2312" w:cs="仿宋_GB2312"/>
                <w:color w:val="auto"/>
                <w:szCs w:val="21"/>
              </w:rPr>
            </w:pPr>
          </w:p>
        </w:tc>
      </w:tr>
      <w:tr>
        <w:trPr>
          <w:trHeight w:val="143" w:hRule="atLeast"/>
          <w:jc w:val="center"/>
        </w:trPr>
        <w:tc>
          <w:tcPr>
            <w:tcW w:w="683" w:type="dxa"/>
            <w:tcBorders>
              <w:top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w:t>
            </w:r>
          </w:p>
        </w:tc>
        <w:tc>
          <w:tcPr>
            <w:tcW w:w="4012" w:type="dxa"/>
            <w:tcBorders>
              <w:top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调运外币现钞进出境业务管理制度</w:t>
            </w:r>
          </w:p>
        </w:tc>
        <w:tc>
          <w:tcPr>
            <w:tcW w:w="1251" w:type="dxa"/>
            <w:tcBorders>
              <w:top w:val="single" w:color="auto" w:sz="4" w:space="0"/>
              <w:lef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原件</w:t>
            </w:r>
          </w:p>
        </w:tc>
        <w:tc>
          <w:tcPr>
            <w:tcW w:w="513" w:type="dxa"/>
            <w:tcBorders>
              <w:top w:val="single" w:color="auto" w:sz="4" w:space="0"/>
              <w:righ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p>
        </w:tc>
        <w:tc>
          <w:tcPr>
            <w:tcW w:w="1024" w:type="dxa"/>
            <w:tcBorders>
              <w:top w:val="single" w:color="auto" w:sz="4" w:space="0"/>
              <w:left w:val="single" w:color="auto" w:sz="4" w:space="0"/>
            </w:tcBorders>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纸质</w:t>
            </w:r>
          </w:p>
        </w:tc>
        <w:tc>
          <w:tcPr>
            <w:tcW w:w="512" w:type="dxa"/>
            <w:tcBorders>
              <w:top w:val="single" w:color="auto" w:sz="4" w:space="0"/>
            </w:tcBorders>
            <w:vAlign w:val="center"/>
          </w:tcPr>
          <w:p>
            <w:pPr>
              <w:rPr>
                <w:rFonts w:ascii="仿宋_GB2312" w:hAnsi="仿宋_GB2312" w:eastAsia="仿宋_GB2312" w:cs="仿宋_GB2312"/>
                <w:color w:val="auto"/>
                <w:szCs w:val="21"/>
              </w:rPr>
            </w:pPr>
          </w:p>
        </w:tc>
        <w:tc>
          <w:tcPr>
            <w:tcW w:w="617" w:type="dxa"/>
            <w:tcBorders>
              <w:top w:val="single" w:color="auto" w:sz="4" w:space="0"/>
            </w:tcBorders>
            <w:vAlign w:val="center"/>
          </w:tcPr>
          <w:p>
            <w:pPr>
              <w:rPr>
                <w:rFonts w:ascii="仿宋_GB2312" w:hAnsi="仿宋_GB2312" w:eastAsia="仿宋_GB2312" w:cs="仿宋_GB2312"/>
                <w:color w:val="auto"/>
                <w:szCs w:val="21"/>
              </w:rPr>
            </w:pPr>
          </w:p>
        </w:tc>
      </w:tr>
    </w:tbl>
    <w:p>
      <w:pPr>
        <w:spacing w:beforeLines="50"/>
        <w:ind w:firstLine="480" w:firstLineChars="200"/>
        <w:rPr>
          <w:rFonts w:ascii="黑体" w:hAnsi="黑体" w:eastAsia="黑体"/>
          <w:color w:val="auto"/>
          <w:sz w:val="24"/>
        </w:rPr>
      </w:pPr>
      <w:r>
        <w:rPr>
          <w:rFonts w:hint="eastAsia" w:ascii="黑体" w:hAnsi="黑体" w:eastAsia="黑体"/>
          <w:color w:val="auto"/>
          <w:sz w:val="24"/>
        </w:rPr>
        <w:t>十、申请接受</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 xml:space="preserve">申请人可通过窗口提交材料。 </w:t>
      </w:r>
    </w:p>
    <w:p>
      <w:pPr>
        <w:ind w:firstLine="480" w:firstLineChars="200"/>
        <w:rPr>
          <w:rFonts w:ascii="黑体" w:hAnsi="黑体" w:eastAsia="黑体"/>
          <w:color w:val="auto"/>
          <w:sz w:val="24"/>
        </w:rPr>
      </w:pPr>
      <w:r>
        <w:rPr>
          <w:rFonts w:hint="eastAsia" w:ascii="黑体" w:hAnsi="黑体" w:eastAsia="黑体"/>
          <w:color w:val="auto"/>
          <w:sz w:val="24"/>
        </w:rPr>
        <w:t>十一、基本办理流程</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（一）</w:t>
      </w:r>
      <w:r>
        <w:rPr>
          <w:rFonts w:ascii="Times New Roman" w:hAnsi="Times New Roman" w:eastAsia="仿宋_GB2312"/>
          <w:color w:val="auto"/>
          <w:sz w:val="24"/>
        </w:rPr>
        <w:t>新办流程</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1.</w:t>
      </w:r>
      <w:r>
        <w:rPr>
          <w:rFonts w:ascii="Times New Roman" w:hAnsi="Times New Roman" w:eastAsia="仿宋_GB2312"/>
          <w:color w:val="auto"/>
          <w:sz w:val="24"/>
        </w:rPr>
        <w:t>申请人持《银行办理调运外币现钞进出境业务备案表》（一式两份）及有关材料，向所在地国家外汇管理局分局进行备案。</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2.</w:t>
      </w:r>
      <w:r>
        <w:rPr>
          <w:rFonts w:ascii="Times New Roman" w:hAnsi="Times New Roman" w:eastAsia="仿宋_GB2312"/>
          <w:color w:val="auto"/>
          <w:sz w:val="24"/>
        </w:rPr>
        <w:t>分局收到申请人内容齐全的备案材料后，在其提交的《银行办理调运外币现钞进出境业务备案表》上加盖签章予以确认，并将其中一份备案表退还申请人留存。</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3.</w:t>
      </w:r>
      <w:r>
        <w:rPr>
          <w:rFonts w:ascii="Times New Roman" w:hAnsi="Times New Roman" w:eastAsia="仿宋_GB2312"/>
          <w:color w:val="auto"/>
          <w:sz w:val="24"/>
        </w:rPr>
        <w:t>分局应自申请人备案之日起10 个工作日内将备案银行情况书面通知当地直属海关，同时抄送国家外汇管理局及辖内中心支局、支局；当地直属海关收到当地分局通知后，应在10 个工作日内转报海关总署</w:t>
      </w:r>
      <w:r>
        <w:rPr>
          <w:rFonts w:hint="eastAsia" w:ascii="Times New Roman" w:hAnsi="Times New Roman" w:eastAsia="仿宋_GB2312"/>
          <w:color w:val="auto"/>
          <w:sz w:val="24"/>
        </w:rPr>
        <w:t>。</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（二）</w:t>
      </w:r>
      <w:r>
        <w:rPr>
          <w:rFonts w:ascii="Times New Roman" w:hAnsi="Times New Roman" w:eastAsia="仿宋_GB2312"/>
          <w:color w:val="auto"/>
          <w:sz w:val="24"/>
        </w:rPr>
        <w:t>停办流程</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已获得调运外币现钞进出境业务资格的申请人停办调运外币现钞进出境业务，应当自停办业务之日前30 个工作日由其总行向所在地分局提交《银行停办调运外币现钞进出境业务备案表》履行停办备案手续。分局按照新办流程中第三条程序分别通知有关部门。</w:t>
      </w:r>
    </w:p>
    <w:p>
      <w:pPr>
        <w:ind w:firstLine="480" w:firstLineChars="200"/>
        <w:rPr>
          <w:rFonts w:ascii="Times New Roman" w:hAnsi="Times New Roman" w:eastAsia="仿宋_GB2312"/>
          <w:color w:val="auto"/>
          <w:sz w:val="24"/>
        </w:rPr>
      </w:pPr>
      <w:r>
        <w:rPr>
          <w:rFonts w:hint="eastAsia" w:ascii="Times New Roman" w:hAnsi="Times New Roman" w:eastAsia="仿宋_GB2312"/>
          <w:color w:val="auto"/>
          <w:sz w:val="24"/>
        </w:rPr>
        <w:t>（三）</w:t>
      </w:r>
      <w:r>
        <w:rPr>
          <w:rFonts w:ascii="Times New Roman" w:hAnsi="Times New Roman" w:eastAsia="仿宋_GB2312"/>
          <w:color w:val="auto"/>
          <w:sz w:val="24"/>
        </w:rPr>
        <w:t>材料不全或不符合法定形式的，一次性告知补正材料，并出具《行政许可补正通知书》。</w:t>
      </w:r>
    </w:p>
    <w:p>
      <w:pPr>
        <w:ind w:firstLine="480" w:firstLineChars="200"/>
        <w:rPr>
          <w:rFonts w:ascii="黑体" w:hAnsi="黑体" w:eastAsia="黑体"/>
          <w:color w:val="auto"/>
          <w:sz w:val="24"/>
        </w:rPr>
      </w:pPr>
      <w:r>
        <w:rPr>
          <w:rFonts w:hint="eastAsia" w:ascii="黑体" w:hAnsi="黑体" w:eastAsia="黑体"/>
          <w:color w:val="auto"/>
          <w:sz w:val="24"/>
        </w:rPr>
        <w:t>十二、办理方式</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一般程序：申请、受理、初审、作出审批决定、出具审批文件。</w:t>
      </w:r>
    </w:p>
    <w:p>
      <w:pPr>
        <w:ind w:firstLine="480" w:firstLineChars="200"/>
        <w:rPr>
          <w:rFonts w:ascii="黑体" w:hAnsi="黑体" w:eastAsia="黑体"/>
          <w:color w:val="auto"/>
          <w:sz w:val="24"/>
        </w:rPr>
      </w:pPr>
      <w:r>
        <w:rPr>
          <w:rFonts w:hint="eastAsia" w:ascii="黑体" w:hAnsi="黑体" w:eastAsia="黑体"/>
          <w:color w:val="auto"/>
          <w:sz w:val="24"/>
        </w:rPr>
        <w:t>十三、审批时限</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10个工作日。</w:t>
      </w:r>
    </w:p>
    <w:p>
      <w:pPr>
        <w:ind w:firstLine="480" w:firstLineChars="200"/>
        <w:rPr>
          <w:rFonts w:ascii="黑体" w:hAnsi="黑体" w:eastAsia="黑体"/>
          <w:color w:val="auto"/>
          <w:sz w:val="24"/>
        </w:rPr>
      </w:pPr>
      <w:r>
        <w:rPr>
          <w:rFonts w:hint="eastAsia" w:ascii="黑体" w:hAnsi="黑体" w:eastAsia="黑体"/>
          <w:color w:val="auto"/>
          <w:sz w:val="24"/>
        </w:rPr>
        <w:t>十四、审批收费依据及标准</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不收费。</w:t>
      </w:r>
    </w:p>
    <w:p>
      <w:pPr>
        <w:ind w:firstLine="480" w:firstLineChars="200"/>
        <w:rPr>
          <w:rFonts w:ascii="黑体" w:hAnsi="黑体" w:eastAsia="黑体"/>
          <w:color w:val="auto"/>
          <w:sz w:val="24"/>
        </w:rPr>
      </w:pPr>
      <w:r>
        <w:rPr>
          <w:rFonts w:hint="eastAsia" w:ascii="黑体" w:hAnsi="黑体" w:eastAsia="黑体"/>
          <w:color w:val="auto"/>
          <w:sz w:val="24"/>
        </w:rPr>
        <w:t>十五、审批结果</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加盖国家外汇管理局分局签章的《银行调运外币现钞进出境业务备案表》。</w:t>
      </w:r>
    </w:p>
    <w:p>
      <w:pPr>
        <w:ind w:firstLine="480" w:firstLineChars="200"/>
        <w:rPr>
          <w:rFonts w:ascii="黑体" w:hAnsi="黑体" w:eastAsia="黑体"/>
          <w:color w:val="auto"/>
          <w:sz w:val="24"/>
        </w:rPr>
      </w:pPr>
      <w:r>
        <w:rPr>
          <w:rFonts w:hint="eastAsia" w:ascii="黑体" w:hAnsi="黑体" w:eastAsia="黑体"/>
          <w:color w:val="auto"/>
          <w:sz w:val="24"/>
        </w:rPr>
        <w:t>十六、结果送达</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通过现场告知或电话通知申请人，并通过现场领取或邮寄方式将结果送达。</w:t>
      </w:r>
    </w:p>
    <w:p>
      <w:pPr>
        <w:ind w:firstLine="480" w:firstLineChars="200"/>
        <w:rPr>
          <w:rFonts w:ascii="黑体" w:hAnsi="黑体" w:eastAsia="黑体"/>
          <w:color w:val="auto"/>
          <w:sz w:val="24"/>
        </w:rPr>
      </w:pPr>
      <w:r>
        <w:rPr>
          <w:rFonts w:hint="eastAsia" w:ascii="黑体" w:hAnsi="黑体" w:eastAsia="黑体"/>
          <w:color w:val="auto"/>
          <w:sz w:val="24"/>
        </w:rPr>
        <w:t>十七、申请人权利和义务</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申请人有权依法提出行政审批申请，依法进行投诉、举报、复议、诉讼等。申请人有义务保证申请材料完整、真实、准确，获批后合法合规办理相关业务。</w:t>
      </w:r>
    </w:p>
    <w:p>
      <w:pPr>
        <w:ind w:firstLine="480" w:firstLineChars="200"/>
        <w:rPr>
          <w:rFonts w:ascii="黑体" w:hAnsi="黑体" w:eastAsia="黑体"/>
          <w:color w:val="auto"/>
          <w:sz w:val="24"/>
        </w:rPr>
      </w:pPr>
      <w:r>
        <w:rPr>
          <w:rFonts w:hint="eastAsia" w:ascii="黑体" w:hAnsi="黑体" w:eastAsia="黑体"/>
          <w:color w:val="auto"/>
          <w:sz w:val="24"/>
        </w:rPr>
        <w:t>十八、事项审查类型</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前审后批</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十九、办公地址和时间</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国家外汇局管理局安徽省分局办公地址：合肥市滨湖新区洞庭湖路3366号。</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国家外汇局管理局安徽省分局办公时间：工作日8:30-17:00。</w:t>
      </w:r>
    </w:p>
    <w:p>
      <w:pPr>
        <w:ind w:firstLine="480" w:firstLineChars="200"/>
        <w:rPr>
          <w:rFonts w:ascii="黑体" w:hAnsi="黑体" w:eastAsia="黑体"/>
          <w:color w:val="auto"/>
          <w:sz w:val="24"/>
        </w:rPr>
      </w:pPr>
      <w:r>
        <w:rPr>
          <w:rFonts w:hint="eastAsia" w:ascii="黑体" w:hAnsi="黑体" w:eastAsia="黑体"/>
          <w:color w:val="auto"/>
          <w:sz w:val="24"/>
        </w:rPr>
        <w:t>二十、禁止性要求</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详见（五）办事条件</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二十一、咨询途径</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国家外汇管理局安徽省分局：咨询电话：0551-63691039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二十二、办理进程和结果公开查询</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国家外汇管理局安徽省分局：查询电话：0551-63691039</w:t>
      </w:r>
      <w:r>
        <w:rPr>
          <w:rFonts w:hint="eastAsia" w:ascii="Times New Roman" w:hAnsi="Times New Roman" w:eastAsia="仿宋_GB2312"/>
          <w:color w:val="auto"/>
          <w:sz w:val="24"/>
        </w:rPr>
        <w:t>。</w:t>
      </w:r>
    </w:p>
    <w:p>
      <w:pPr>
        <w:ind w:firstLine="480" w:firstLineChars="200"/>
        <w:rPr>
          <w:rFonts w:ascii="黑体" w:hAnsi="黑体" w:eastAsia="黑体"/>
          <w:color w:val="auto"/>
          <w:sz w:val="24"/>
        </w:rPr>
      </w:pPr>
      <w:r>
        <w:rPr>
          <w:rFonts w:hint="eastAsia" w:ascii="黑体" w:hAnsi="黑体" w:eastAsia="黑体"/>
          <w:color w:val="auto"/>
          <w:sz w:val="24"/>
        </w:rPr>
        <w:t>二十三、监督投诉渠道</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国家外汇管理局安徽省分局：投诉电话：0551-63691211</w:t>
      </w:r>
      <w:r>
        <w:rPr>
          <w:rFonts w:hint="eastAsia" w:ascii="Times New Roman" w:hAnsi="Times New Roman" w:eastAsia="仿宋_GB2312"/>
          <w:color w:val="auto"/>
          <w:sz w:val="24"/>
        </w:rPr>
        <w:t>。</w:t>
      </w:r>
    </w:p>
    <w:p>
      <w:pPr>
        <w:ind w:firstLine="480" w:firstLineChars="200"/>
        <w:rPr>
          <w:rFonts w:ascii="Times New Roman" w:hAnsi="Times New Roman" w:eastAsia="仿宋_GB2312"/>
          <w:color w:val="auto"/>
          <w:sz w:val="24"/>
        </w:rPr>
      </w:pPr>
      <w:r>
        <w:rPr>
          <w:rFonts w:hint="eastAsia" w:ascii="黑体" w:hAnsi="黑体" w:eastAsia="黑体"/>
          <w:color w:val="auto"/>
          <w:sz w:val="24"/>
        </w:rPr>
        <w:t>二十四、申请材料示范文本</w:t>
      </w: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无固定格式。有关内容要求详见（六）申请材料</w:t>
      </w:r>
      <w:r>
        <w:rPr>
          <w:rFonts w:hint="eastAsia" w:ascii="Times New Roman" w:hAnsi="Times New Roman" w:eastAsia="仿宋_GB2312"/>
          <w:color w:val="auto"/>
          <w:sz w:val="24"/>
        </w:rPr>
        <w:t>。</w:t>
      </w:r>
    </w:p>
    <w:p>
      <w:pPr>
        <w:ind w:firstLine="480" w:firstLineChars="200"/>
        <w:rPr>
          <w:rFonts w:ascii="Times New Roman" w:hAnsi="Times New Roman" w:eastAsia="仿宋_GB2312"/>
          <w:color w:val="auto"/>
          <w:sz w:val="24"/>
        </w:rPr>
      </w:pPr>
      <w:r>
        <w:rPr>
          <w:rFonts w:hint="eastAsia" w:ascii="黑体" w:hAnsi="黑体" w:eastAsia="黑体"/>
          <w:color w:val="auto"/>
          <w:sz w:val="24"/>
        </w:rPr>
        <w:t>二十五、常见问题解答</w:t>
      </w:r>
    </w:p>
    <w:p>
      <w:pPr>
        <w:ind w:firstLine="480" w:firstLineChars="200"/>
      </w:pPr>
      <w:r>
        <w:rPr>
          <w:rFonts w:ascii="Times New Roman" w:hAnsi="Times New Roman" w:eastAsia="仿宋_GB2312"/>
          <w:color w:val="auto"/>
          <w:sz w:val="24"/>
        </w:rPr>
        <w:t>审批时限在10个工作日以内。</w:t>
      </w:r>
      <w:bookmarkStart w:id="32" w:name="_GoBack"/>
      <w:bookmarkEnd w:id="32"/>
    </w:p>
    <w:sectPr>
      <w:pgSz w:w="11849" w:h="16781"/>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mbria Math">
    <w:panose1 w:val="02040503050406030204"/>
    <w:charset w:val="01"/>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黑体简体">
    <w:altName w:val="微软雅黑"/>
    <w:panose1 w:val="03000509000000000000"/>
    <w:charset w:val="86"/>
    <w:family w:val="auto"/>
    <w:pitch w:val="default"/>
    <w:sig w:usb0="00000000" w:usb1="00000000" w:usb2="00000010" w:usb3="00000000" w:csb0="00040000" w:csb1="00000000"/>
  </w:font>
  <w:font w:name="方正楷体简体">
    <w:altName w:val="宋体"/>
    <w:panose1 w:val="03000509000000000000"/>
    <w:charset w:val="86"/>
    <w:family w:val="auto"/>
    <w:pitch w:val="default"/>
    <w:sig w:usb0="00000000" w:usb1="00000000" w:usb2="00000010" w:usb3="00000000" w:csb0="00040000" w:csb1="00000000"/>
  </w:font>
  <w:font w:name="方正仿宋简体">
    <w:altName w:val="微软雅黑"/>
    <w:panose1 w:val="03000509000000000000"/>
    <w:charset w:val="86"/>
    <w:family w:val="auto"/>
    <w:pitch w:val="default"/>
    <w:sig w:usb0="00000000" w:usb1="00000000" w:usb2="00000010" w:usb3="00000000" w:csb0="00040000" w:csb1="00000000"/>
  </w:font>
  <w:font w:name="方正楷体_GBK">
    <w:altName w:val="宋体"/>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
    <w:altName w:val="Times New Roman"/>
    <w:panose1 w:val="00000000000000000000"/>
    <w:charset w:val="00"/>
    <w:family w:val="auto"/>
    <w:pitch w:val="default"/>
    <w:sig w:usb0="00000000" w:usb1="00000000" w:usb2="00000000" w:usb3="00000000" w:csb0="00000001" w:csb1="00000000"/>
  </w:font>
  <w:font w:name="kor_boot">
    <w:altName w:val="Gulim"/>
    <w:panose1 w:val="020B0502040204020203"/>
    <w:charset w:val="81"/>
    <w:family w:val="auto"/>
    <w:pitch w:val="default"/>
    <w:sig w:usb0="B00002AF" w:usb1="69D77CFB" w:usb2="00000030" w:usb3="00000000" w:csb0="0008009F" w:csb1="DFD7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Songti SC Black">
    <w:altName w:val="Tahoma"/>
    <w:panose1 w:val="02010800040101010101"/>
    <w:charset w:val="00"/>
    <w:family w:val="auto"/>
    <w:pitch w:val="default"/>
    <w:sig w:usb0="00000003"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方正仿宋_GBK">
    <w:altName w:val="微软雅黑"/>
    <w:panose1 w:val="03000509000000000000"/>
    <w:charset w:val="86"/>
    <w:family w:val="auto"/>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Serif">
    <w:altName w:val="Microsoft Sans Serif"/>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287" w:usb1="00000000" w:usb2="00000000" w:usb3="00000000" w:csb0="2000019F" w:csb1="00000000"/>
  </w:font>
  <w:font w:name="·ÂËÎ Western">
    <w:altName w:val="Courier New"/>
    <w:panose1 w:val="00000000000000000000"/>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ˎ̥">
    <w:altName w:val="微软雅黑"/>
    <w:panose1 w:val="020B0604020202020204"/>
    <w:charset w:val="01"/>
    <w:family w:val="auto"/>
    <w:pitch w:val="default"/>
    <w:sig w:usb0="00000000" w:usb1="00000000" w:usb2="00000000" w:usb3="00000000" w:csb0="00040001" w:csb1="00000000"/>
  </w:font>
  <w:font w:name="Times">
    <w:altName w:val="Times New Roman"/>
    <w:panose1 w:val="02020603060405020304"/>
    <w:charset w:val="00"/>
    <w:family w:val="auto"/>
    <w:pitch w:val="default"/>
    <w:sig w:usb0="20007A87" w:usb1="80000000" w:usb2="00000008" w:usb3="00000000" w:csb0="000001FF" w:csb1="00000000"/>
  </w:font>
  <w:font w:name="宋体-方正超大字符集">
    <w:altName w:val="宋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Wingdings 3">
    <w:panose1 w:val="05040102010807070707"/>
    <w:charset w:val="02"/>
    <w:family w:val="auto"/>
    <w:pitch w:val="default"/>
    <w:sig w:usb0="00000000" w:usb1="00000000" w:usb2="00000000" w:usb3="00000000" w:csb0="80000000" w:csb1="00000000"/>
  </w:font>
  <w:font w:name="Eras Light ITC">
    <w:altName w:val="Segoe Print"/>
    <w:panose1 w:val="020B0402030504020804"/>
    <w:charset w:val="00"/>
    <w:family w:val="auto"/>
    <w:pitch w:val="default"/>
    <w:sig w:usb0="00000003"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STKaiti Greek">
    <w:altName w:val="Times New Roman"/>
    <w:panose1 w:val="00000000000000000000"/>
    <w:charset w:val="A1"/>
    <w:family w:val="auto"/>
    <w:pitch w:val="default"/>
    <w:sig w:usb0="00000000" w:usb1="00000000" w:usb2="00000000" w:usb3="00000000" w:csb0="00040001" w:csb1="00000000"/>
  </w:font>
  <w:font w:name="Arial CE">
    <w:altName w:val="Times New Roman"/>
    <w:panose1 w:val="00000000000000000000"/>
    <w:charset w:val="EE"/>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汉仪粗宋简">
    <w:altName w:val="宋体"/>
    <w:panose1 w:val="02010609000101010101"/>
    <w:charset w:val="86"/>
    <w:family w:val="auto"/>
    <w:pitch w:val="default"/>
    <w:sig w:usb0="00000001" w:usb1="080E0800" w:usb2="00000002" w:usb3="00000000" w:csb0="00040000" w:csb1="00000000"/>
  </w:font>
  <w:font w:name="Garamond">
    <w:altName w:val="PMingLiU"/>
    <w:panose1 w:val="02020404030301010803"/>
    <w:charset w:val="00"/>
    <w:family w:val="auto"/>
    <w:pitch w:val="default"/>
    <w:sig w:usb0="00000287" w:usb1="00000000" w:usb2="00000000" w:usb3="00000000" w:csb0="0000009F" w:csb1="DFD70000"/>
  </w:font>
  <w:font w:name="新宋体">
    <w:panose1 w:val="02010609030101010101"/>
    <w:charset w:val="86"/>
    <w:family w:val="auto"/>
    <w:pitch w:val="default"/>
    <w:sig w:usb0="00000003" w:usb1="288F0000" w:usb2="00000006" w:usb3="00000000" w:csb0="00040001" w:csb1="00000000"/>
  </w:font>
  <w:font w:name="Arial (Vietnamese)">
    <w:altName w:val="Times New Roman"/>
    <w:panose1 w:val="00000000000000000000"/>
    <w:charset w:val="A3"/>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MS UI Gothic">
    <w:panose1 w:val="020B0600070205080204"/>
    <w:charset w:val="80"/>
    <w:family w:val="auto"/>
    <w:pitch w:val="default"/>
    <w:sig w:usb0="E00002FF" w:usb1="6AC7FDFB" w:usb2="00000012" w:usb3="00000000" w:csb0="4002009F" w:csb1="DFD70000"/>
  </w:font>
  <w:font w:name="_GB2312">
    <w:altName w:val="宋体"/>
    <w:panose1 w:val="00000000000000000000"/>
    <w:charset w:val="86"/>
    <w:family w:val="auto"/>
    <w:pitch w:val="default"/>
    <w:sig w:usb0="00000001" w:usb1="080E0000" w:usb2="0000001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Bold">
    <w:altName w:val="Times New Roman"/>
    <w:panose1 w:val="02020803070505020304"/>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PMingLiU">
    <w:panose1 w:val="02020500000000000000"/>
    <w:charset w:val="88"/>
    <w:family w:val="auto"/>
    <w:pitch w:val="default"/>
    <w:sig w:usb0="A00002FF" w:usb1="28CFFCFA" w:usb2="00000016" w:usb3="00000000" w:csb0="00100001" w:csb1="00000000"/>
  </w:font>
  <w:font w:name="Arail">
    <w:altName w:val="宋体"/>
    <w:panose1 w:val="00000000000000000000"/>
    <w:charset w:val="00"/>
    <w:family w:val="auto"/>
    <w:pitch w:val="default"/>
    <w:sig w:usb0="00000000" w:usb1="00000000" w:usb2="00000000" w:usb3="00000000" w:csb0="00040001" w:csb1="00000000"/>
  </w:font>
  <w:font w:name="五">
    <w:altName w:val="宋体"/>
    <w:panose1 w:val="00000000000000000000"/>
    <w:charset w:val="86"/>
    <w:family w:val="auto"/>
    <w:pitch w:val="default"/>
    <w:sig w:usb0="00000001" w:usb1="080E0000" w:usb2="00000010" w:usb3="00000000" w:csb0="00040000" w:csb1="00000000"/>
  </w:font>
  <w:font w:name="_x000B__x000C_">
    <w:altName w:val="Times New Roman"/>
    <w:panose1 w:val="020B0604020202020204"/>
    <w:charset w:val="00"/>
    <w:family w:val="auto"/>
    <w:pitch w:val="default"/>
    <w:sig w:usb0="0000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彩虹粗仿宋">
    <w:altName w:val="仿宋"/>
    <w:panose1 w:val="03000509000000000000"/>
    <w:charset w:val="86"/>
    <w:family w:val="auto"/>
    <w:pitch w:val="default"/>
    <w:sig w:usb0="00000000" w:usb1="080E0000" w:usb2="00000010" w:usb3="00000000" w:csb0="00040000" w:csb1="00000000"/>
  </w:font>
  <w:font w:name="彩虹黑体">
    <w:altName w:val="宋体"/>
    <w:panose1 w:val="03000509000000000000"/>
    <w:charset w:val="86"/>
    <w:family w:val="auto"/>
    <w:pitch w:val="default"/>
    <w:sig w:usb0="00000001" w:usb1="080E0000" w:usb2="00000010" w:usb3="00000000" w:csb0="00040000" w:csb1="00000000"/>
  </w:font>
  <w:font w:name="彩虹楷体">
    <w:altName w:val="宋体"/>
    <w:panose1 w:val="03000509000000000000"/>
    <w:charset w:val="86"/>
    <w:family w:val="auto"/>
    <w:pitch w:val="default"/>
    <w:sig w:usb0="00000001" w:usb1="080E0000" w:usb2="00000010" w:usb3="00000000" w:csb0="00040000" w:csb1="00000000"/>
  </w:font>
  <w:font w:name="華康簡楷">
    <w:altName w:val="楷体_GB2312"/>
    <w:panose1 w:val="03000509000000000000"/>
    <w:charset w:val="88"/>
    <w:family w:val="auto"/>
    <w:pitch w:val="default"/>
    <w:sig w:usb0="00000000" w:usb1="00000000" w:usb2="00000000" w:usb3="00000000" w:csb0="00040001" w:csb1="00000000"/>
  </w:font>
  <w:font w:name="DotumChe">
    <w:panose1 w:val="020B0609000101010101"/>
    <w:charset w:val="81"/>
    <w:family w:val="auto"/>
    <w:pitch w:val="default"/>
    <w:sig w:usb0="B00002AF" w:usb1="69D77CFB" w:usb2="00000030" w:usb3="00000000" w:csb0="4008009F" w:csb1="DFD70000"/>
  </w:font>
  <w:font w:name="STKaiti Western">
    <w:altName w:val="Courier New"/>
    <w:panose1 w:val="00000000000000000000"/>
    <w:charset w:val="00"/>
    <w:family w:val="auto"/>
    <w:pitch w:val="default"/>
    <w:sig w:usb0="00000000" w:usb1="00000000" w:usb2="00000000" w:usb3="00000000" w:csb0="00000001" w:csb1="00000000"/>
  </w:font>
  <w:font w:name="STKaiti Cyr">
    <w:altName w:val="Courier New"/>
    <w:panose1 w:val="00000000000000000000"/>
    <w:charset w:val="CC"/>
    <w:family w:val="auto"/>
    <w:pitch w:val="default"/>
    <w:sig w:usb0="00000000" w:usb1="00000000" w:usb2="00000000" w:usb3="00000000" w:csb0="00000004" w:csb1="00000000"/>
  </w:font>
  <w:font w:name="HYa1gj">
    <w:altName w:val="宋体"/>
    <w:panose1 w:val="00000000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00" w:usb3="00000000" w:csb0="00040000" w:csb1="00000000"/>
  </w:font>
  <w:font w:name="Arial Greek">
    <w:altName w:val="Arial"/>
    <w:panose1 w:val="00000000000000000000"/>
    <w:charset w:val="A1"/>
    <w:family w:val="auto"/>
    <w:pitch w:val="default"/>
    <w:sig w:usb0="00000000" w:usb1="00000000" w:usb2="00000000" w:usb3="00000000" w:csb0="00000008" w:csb1="00000000"/>
  </w:font>
  <w:font w:name="STKaiti Baltic">
    <w:altName w:val="Courier New"/>
    <w:panose1 w:val="00000000000000000000"/>
    <w:charset w:val="BA"/>
    <w:family w:val="auto"/>
    <w:pitch w:val="default"/>
    <w:sig w:usb0="00000000" w:usb1="00000000" w:usb2="00000000" w:usb3="00000000" w:csb0="00000080" w:csb1="00000000"/>
  </w:font>
  <w:font w:name="Arial Baltic">
    <w:altName w:val="Arial"/>
    <w:panose1 w:val="00000000000000000000"/>
    <w:charset w:val="BA"/>
    <w:family w:val="auto"/>
    <w:pitch w:val="default"/>
    <w:sig w:usb0="00000000" w:usb1="00000000" w:usb2="00000000" w:usb3="00000000" w:csb0="00000080" w:csb1="00000000"/>
  </w:font>
  <w:font w:name="Arial (Arabic)">
    <w:altName w:val="Arial"/>
    <w:panose1 w:val="00000000000000000000"/>
    <w:charset w:val="B2"/>
    <w:family w:val="auto"/>
    <w:pitch w:val="default"/>
    <w:sig w:usb0="00000000" w:usb1="00000000" w:usb2="00000000" w:usb3="00000000" w:csb0="00000040" w:csb1="00000000"/>
  </w:font>
  <w:font w:name="Arial Tur">
    <w:altName w:val="Arial"/>
    <w:panose1 w:val="00000000000000000000"/>
    <w:charset w:val="A2"/>
    <w:family w:val="auto"/>
    <w:pitch w:val="default"/>
    <w:sig w:usb0="00000000" w:usb1="00000000" w:usb2="00000000" w:usb3="00000000" w:csb0="00000010" w:csb1="00000000"/>
  </w:font>
  <w:font w:name="Arial Cyr">
    <w:altName w:val="Arial"/>
    <w:panose1 w:val="00000000000000000000"/>
    <w:charset w:val="CC"/>
    <w:family w:val="auto"/>
    <w:pitch w:val="default"/>
    <w:sig w:usb0="00000000" w:usb1="00000000" w:usb2="00000000" w:usb3="00000000" w:csb0="00000004" w:csb1="00000000"/>
  </w:font>
  <w:font w:name="Arial (Hebrew)">
    <w:altName w:val="Arial"/>
    <w:panose1 w:val="00000000000000000000"/>
    <w:charset w:val="B1"/>
    <w:family w:val="auto"/>
    <w:pitch w:val="default"/>
    <w:sig w:usb0="00000000" w:usb1="00000000" w:usb2="00000000" w:usb3="00000000" w:csb0="00000020" w:csb1="00000000"/>
  </w:font>
  <w:font w:name="STKaiti Tur">
    <w:altName w:val="Courier New"/>
    <w:panose1 w:val="00000000000000000000"/>
    <w:charset w:val="A2"/>
    <w:family w:val="auto"/>
    <w:pitch w:val="default"/>
    <w:sig w:usb0="00000000" w:usb1="00000000" w:usb2="00000000" w:usb3="00000000" w:csb0="00000010" w:csb1="00000000"/>
  </w:font>
  <w:font w:name="STKaiti CE">
    <w:altName w:val="Courier New"/>
    <w:panose1 w:val="00000000000000000000"/>
    <w:charset w:val="EE"/>
    <w:family w:val="auto"/>
    <w:pitch w:val="default"/>
    <w:sig w:usb0="00000000" w:usb1="00000000" w:usb2="00000000" w:usb3="00000000" w:csb0="00000002" w:csb1="00000000"/>
  </w:font>
  <w:font w:name="STFangsong Western">
    <w:altName w:val="Courier New"/>
    <w:panose1 w:val="00000000000000000000"/>
    <w:charset w:val="00"/>
    <w:family w:val="auto"/>
    <w:pitch w:val="default"/>
    <w:sig w:usb0="00000000" w:usb1="00000000" w:usb2="00000000" w:usb3="00000000" w:csb0="00000001" w:csb1="00000000"/>
  </w:font>
  <w:font w:name="STFangsong CE">
    <w:altName w:val="Courier New"/>
    <w:panose1 w:val="00000000000000000000"/>
    <w:charset w:val="EE"/>
    <w:family w:val="auto"/>
    <w:pitch w:val="default"/>
    <w:sig w:usb0="00000000" w:usb1="00000000" w:usb2="00000000" w:usb3="00000000" w:csb0="00000002" w:csb1="00000000"/>
  </w:font>
  <w:font w:name="STFangsong Cyr">
    <w:altName w:val="Courier New"/>
    <w:panose1 w:val="00000000000000000000"/>
    <w:charset w:val="CC"/>
    <w:family w:val="auto"/>
    <w:pitch w:val="default"/>
    <w:sig w:usb0="00000000" w:usb1="00000000" w:usb2="00000000" w:usb3="00000000" w:csb0="00000004" w:csb1="00000000"/>
  </w:font>
  <w:font w:name="STFangsong Greek">
    <w:altName w:val="Courier New"/>
    <w:panose1 w:val="00000000000000000000"/>
    <w:charset w:val="A1"/>
    <w:family w:val="auto"/>
    <w:pitch w:val="default"/>
    <w:sig w:usb0="00000000" w:usb1="00000000" w:usb2="00000000" w:usb3="00000000" w:csb0="00000008" w:csb1="00000000"/>
  </w:font>
  <w:font w:name="STFangsong Tur">
    <w:altName w:val="Courier New"/>
    <w:panose1 w:val="00000000000000000000"/>
    <w:charset w:val="A2"/>
    <w:family w:val="auto"/>
    <w:pitch w:val="default"/>
    <w:sig w:usb0="00000000" w:usb1="00000000" w:usb2="00000000" w:usb3="00000000" w:csb0="00000010" w:csb1="00000000"/>
  </w:font>
  <w:font w:name="STFangsong Baltic">
    <w:altName w:val="Courier New"/>
    <w:panose1 w:val="00000000000000000000"/>
    <w:charset w:val="BA"/>
    <w:family w:val="auto"/>
    <w:pitch w:val="default"/>
    <w:sig w:usb0="00000000" w:usb1="00000000" w:usb2="00000000" w:usb3="00000000" w:csb0="00000080" w:csb1="00000000"/>
  </w:font>
  <w:font w:name="STZhongsong Western">
    <w:altName w:val="Courier New"/>
    <w:panose1 w:val="00000000000000000000"/>
    <w:charset w:val="00"/>
    <w:family w:val="auto"/>
    <w:pitch w:val="default"/>
    <w:sig w:usb0="00000000" w:usb1="00000000" w:usb2="00000000" w:usb3="00000000" w:csb0="00000001" w:csb1="00000000"/>
  </w:font>
  <w:font w:name="STZhongsong CE">
    <w:altName w:val="Courier New"/>
    <w:panose1 w:val="00000000000000000000"/>
    <w:charset w:val="EE"/>
    <w:family w:val="auto"/>
    <w:pitch w:val="default"/>
    <w:sig w:usb0="00000000" w:usb1="00000000" w:usb2="00000000" w:usb3="00000000" w:csb0="00000002" w:csb1="00000000"/>
  </w:font>
  <w:font w:name="STZhongsong Cyr">
    <w:altName w:val="Courier New"/>
    <w:panose1 w:val="00000000000000000000"/>
    <w:charset w:val="CC"/>
    <w:family w:val="auto"/>
    <w:pitch w:val="default"/>
    <w:sig w:usb0="00000000" w:usb1="00000000" w:usb2="00000000" w:usb3="00000000" w:csb0="00000004" w:csb1="00000000"/>
  </w:font>
  <w:font w:name="STZhongsong Greek">
    <w:altName w:val="Courier New"/>
    <w:panose1 w:val="00000000000000000000"/>
    <w:charset w:val="A1"/>
    <w:family w:val="auto"/>
    <w:pitch w:val="default"/>
    <w:sig w:usb0="00000000" w:usb1="00000000" w:usb2="00000000" w:usb3="00000000" w:csb0="00000008" w:csb1="00000000"/>
  </w:font>
  <w:font w:name="STZhongsong Tur">
    <w:altName w:val="Courier New"/>
    <w:panose1 w:val="00000000000000000000"/>
    <w:charset w:val="A2"/>
    <w:family w:val="auto"/>
    <w:pitch w:val="default"/>
    <w:sig w:usb0="00000000" w:usb1="00000000" w:usb2="00000000" w:usb3="00000000" w:csb0="00000010" w:csb1="00000000"/>
  </w:font>
  <w:font w:name="STZhongsong Baltic">
    <w:altName w:val="Courier New"/>
    <w:panose1 w:val="00000000000000000000"/>
    <w:charset w:val="BA"/>
    <w:family w:val="auto"/>
    <w:pitch w:val="default"/>
    <w:sig w:usb0="00000000" w:usb1="00000000" w:usb2="00000000" w:usb3="00000000" w:csb0="00000080" w:csb1="00000000"/>
  </w:font>
  <w:font w:name="文鼎小标宋简">
    <w:altName w:val="宋体"/>
    <w:panose1 w:val="0201060901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NSimSun Western">
    <w:altName w:val="Courier New"/>
    <w:panose1 w:val="00000000000000000000"/>
    <w:charset w:val="00"/>
    <w:family w:val="auto"/>
    <w:pitch w:val="default"/>
    <w:sig w:usb0="00000000" w:usb1="00000000" w:usb2="00000000" w:usb3="00000000" w:csb0="00000001" w:csb1="00000000"/>
  </w:font>
  <w:font w:name="Myriad">
    <w:altName w:val="微软雅黑"/>
    <w:panose1 w:val="00000000000000000000"/>
    <w:charset w:val="01"/>
    <w:family w:val="auto"/>
    <w:pitch w:val="default"/>
    <w:sig w:usb0="00000000" w:usb1="00000000" w:usb2="00000000" w:usb3="00000000" w:csb0="00040001"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MS Mincho">
    <w:panose1 w:val="02020609040205080304"/>
    <w:charset w:val="80"/>
    <w:family w:val="auto"/>
    <w:pitch w:val="default"/>
    <w:sig w:usb0="E00002FF" w:usb1="6AC7FDFB" w:usb2="00000012" w:usb3="00000000" w:csb0="4002009F" w:csb1="DFD70000"/>
  </w:font>
  <w:font w:name="微软大标宋">
    <w:altName w:val="宋体"/>
    <w:panose1 w:val="02010609000101010101"/>
    <w:charset w:val="86"/>
    <w:family w:val="auto"/>
    <w:pitch w:val="default"/>
    <w:sig w:usb0="00000001" w:usb1="080E0000" w:usb2="00000010" w:usb3="00000000" w:csb0="00040000" w:csb1="00000000"/>
  </w:font>
  <w:font w:name="宋体-18030">
    <w:altName w:val="微软雅黑"/>
    <w:panose1 w:val="02010609060101010101"/>
    <w:charset w:val="86"/>
    <w:family w:val="auto"/>
    <w:pitch w:val="default"/>
    <w:sig w:usb0="800022A7" w:usb1="880F3C78" w:usb2="000A005E" w:usb3="00000000" w:csb0="00040001" w:csb1="00000000"/>
  </w:font>
  <w:font w:name="Book Antiqua">
    <w:altName w:val="Segoe Print"/>
    <w:panose1 w:val="02040602050305030304"/>
    <w:charset w:val="00"/>
    <w:family w:val="auto"/>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Andale WT">
    <w:altName w:val="Courier New"/>
    <w:panose1 w:val="00000000000000000000"/>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Arial Narrow">
    <w:altName w:val="Arial"/>
    <w:panose1 w:val="020B0606020202030204"/>
    <w:charset w:val="00"/>
    <w:family w:val="auto"/>
    <w:pitch w:val="default"/>
    <w:sig w:usb0="00000287" w:usb1="00000800" w:usb2="00000000" w:usb3="00000000" w:csb0="2000009F" w:csb1="DFD70000"/>
  </w:font>
  <w:font w:name="Century Gothic">
    <w:altName w:val="Century"/>
    <w:panose1 w:val="020B0502020202020204"/>
    <w:charset w:val="00"/>
    <w:family w:val="auto"/>
    <w:pitch w:val="default"/>
    <w:sig w:usb0="00000287" w:usb1="00000000" w:usb2="00000000" w:usb3="00000000" w:csb0="2000009F" w:csb1="DFD70000"/>
  </w:font>
  <w:font w:name="Dotum">
    <w:panose1 w:val="020B0600000101010101"/>
    <w:charset w:val="81"/>
    <w:family w:val="auto"/>
    <w:pitch w:val="default"/>
    <w:sig w:usb0="B00002AF" w:usb1="69D77CFB" w:usb2="00000030" w:usb3="00000000" w:csb0="4008009F" w:csb1="DFD70000"/>
  </w:font>
  <w:font w:name="Helvetica">
    <w:altName w:val="Microsoft Sans Serif"/>
    <w:panose1 w:val="020B0604020202020204"/>
    <w:charset w:val="00"/>
    <w:family w:val="auto"/>
    <w:pitch w:val="default"/>
    <w:sig w:usb0="000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华康简标题宋">
    <w:altName w:val="宋体"/>
    <w:panose1 w:val="02010609000101010101"/>
    <w:charset w:val="86"/>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ì.">
    <w:altName w:val="宋体"/>
    <w:panose1 w:val="00000000000000000000"/>
    <w:charset w:val="86"/>
    <w:family w:val="auto"/>
    <w:pitch w:val="default"/>
    <w:sig w:usb0="00000001" w:usb1="080E0000" w:usb2="00000010" w:usb3="00000000" w:csb0="00040000" w:csb1="00000000"/>
  </w:font>
  <w:font w:name="Shruti">
    <w:panose1 w:val="020B0502040204020203"/>
    <w:charset w:val="00"/>
    <w:family w:val="auto"/>
    <w:pitch w:val="default"/>
    <w:sig w:usb0="00040003" w:usb1="00000000" w:usb2="00000000" w:usb3="00000000" w:csb0="00000001" w:csb1="00000000"/>
  </w:font>
  <w:font w:name="??GB_2312">
    <w:altName w:val="Courier New"/>
    <w:panose1 w:val="00000000000000000000"/>
    <w:charset w:val="00"/>
    <w:family w:val="auto"/>
    <w:pitch w:val="default"/>
    <w:sig w:usb0="00000003" w:usb1="00000000" w:usb2="00000000" w:usb3="00000000" w:csb0="00000001" w:csb1="00000000"/>
  </w:font>
  <w:font w:name="����">
    <w:altName w:val="微软雅黑"/>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Lucida Grande">
    <w:altName w:val="微软雅黑"/>
    <w:panose1 w:val="020B0600040502020204"/>
    <w:charset w:val="01"/>
    <w:family w:val="auto"/>
    <w:pitch w:val="default"/>
    <w:sig w:usb0="00000000" w:usb1="00000000" w:usb2="00000000" w:usb3="00000000" w:csb0="00040001" w:csb1="00000000"/>
  </w:font>
  <w:font w:name="»ªÎÄÖÐËÎ Western">
    <w:altName w:val="Courier New"/>
    <w:panose1 w:val="00000000000000000000"/>
    <w:charset w:val="00"/>
    <w:family w:val="auto"/>
    <w:pitch w:val="default"/>
    <w:sig w:usb0="00000000" w:usb1="00000000" w:usb2="00000000" w:usb3="00000000" w:csb0="00000001" w:csb1="00000000"/>
  </w:font>
  <w:font w:name="»ŞÎÄÖĐËÎ CE">
    <w:altName w:val="Courier New"/>
    <w:panose1 w:val="00000000000000000000"/>
    <w:charset w:val="EE"/>
    <w:family w:val="auto"/>
    <w:pitch w:val="default"/>
    <w:sig w:usb0="00000000" w:usb1="00000000" w:usb2="00000000" w:usb3="00000000" w:csb0="00000002" w:csb1="00000000"/>
  </w:font>
  <w:font w:name="»ЄОДЦРЛО Cyr">
    <w:altName w:val="Courier New"/>
    <w:panose1 w:val="00000000000000000000"/>
    <w:charset w:val="CC"/>
    <w:family w:val="auto"/>
    <w:pitch w:val="default"/>
    <w:sig w:usb0="00000000" w:usb1="00000000" w:usb2="00000000" w:usb3="00000000" w:csb0="00000004" w:csb1="00000000"/>
  </w:font>
  <w:font w:name="»ΞΔΦΠΛΞ Greek">
    <w:altName w:val="Courier New"/>
    <w:panose1 w:val="00000000000000000000"/>
    <w:charset w:val="A1"/>
    <w:family w:val="auto"/>
    <w:pitch w:val="default"/>
    <w:sig w:usb0="00000000" w:usb1="00000000" w:usb2="00000000" w:usb3="00000000" w:csb0="00000008" w:csb1="00000000"/>
  </w:font>
  <w:font w:name="»ªÎÄÖĞËÎ Tur">
    <w:altName w:val="Courier New"/>
    <w:panose1 w:val="00000000000000000000"/>
    <w:charset w:val="A2"/>
    <w:family w:val="auto"/>
    <w:pitch w:val="default"/>
    <w:sig w:usb0="00000000" w:usb1="00000000" w:usb2="00000000" w:usb3="00000000" w:csb0="00000010" w:csb1="00000000"/>
  </w:font>
  <w:font w:name="»ŖĪÄÖŠĖĪ Baltic">
    <w:altName w:val="Courier New"/>
    <w:panose1 w:val="00000000000000000000"/>
    <w:charset w:val="BA"/>
    <w:family w:val="auto"/>
    <w:pitch w:val="default"/>
    <w:sig w:usb0="00000000" w:usb1="00000000" w:usb2="00000000" w:usb3="00000000" w:csb0="00000080" w:csb1="00000000"/>
  </w:font>
  <w:font w:name="Noteworthy">
    <w:altName w:val="Times New Roman"/>
    <w:panose1 w:val="00000000000000000000"/>
    <w:charset w:val="00"/>
    <w:family w:val="auto"/>
    <w:pitch w:val="default"/>
    <w:sig w:usb0="00000003" w:usb1="00000000" w:usb2="00000000" w:usb3="00000000" w:csb0="00000001" w:csb1="00000000"/>
  </w:font>
  <w:font w:name="_x000B_">
    <w:altName w:val="Times New Roman"/>
    <w:panose1 w:val="00000000000000000000"/>
    <w:charset w:val="00"/>
    <w:family w:val="auto"/>
    <w:pitch w:val="default"/>
    <w:sig w:usb0="00000000" w:usb1="00000000" w:usb2="00000000" w:usb3="00000000" w:csb0="00040001" w:csb1="00000000"/>
  </w:font>
  <w:font w:name="锟斤拷锟斤拷">
    <w:altName w:val="微软雅黑"/>
    <w:panose1 w:val="00000000000000000000"/>
    <w:charset w:val="01"/>
    <w:family w:val="auto"/>
    <w:pitch w:val="default"/>
    <w:sig w:usb0="00000000" w:usb1="00000000" w:usb2="00000000" w:usb3="00000000" w:csb0="00040001" w:csb1="00000000"/>
  </w:font>
  <w:font w:name="Microsoft YaHei CE">
    <w:altName w:val="Courier New"/>
    <w:panose1 w:val="00000000000000000000"/>
    <w:charset w:val="EE"/>
    <w:family w:val="auto"/>
    <w:pitch w:val="default"/>
    <w:sig w:usb0="00000000" w:usb1="00000000" w:usb2="00000000" w:usb3="00000000" w:csb0="00000002" w:csb1="00000000"/>
  </w:font>
  <w:font w:name="Microsoft YaHei Tur">
    <w:altName w:val="Courier New"/>
    <w:panose1 w:val="00000000000000000000"/>
    <w:charset w:val="A2"/>
    <w:family w:val="auto"/>
    <w:pitch w:val="default"/>
    <w:sig w:usb0="00000000" w:usb1="00000000" w:usb2="00000000" w:usb3="00000000" w:csb0="00000010" w:csb1="00000000"/>
  </w:font>
  <w:font w:name="Microsoft YaHei Cyr">
    <w:altName w:val="Courier New"/>
    <w:panose1 w:val="00000000000000000000"/>
    <w:charset w:val="CC"/>
    <w:family w:val="auto"/>
    <w:pitch w:val="default"/>
    <w:sig w:usb0="00000000" w:usb1="00000000" w:usb2="00000000" w:usb3="00000000" w:csb0="00000004" w:csb1="00000000"/>
  </w:font>
  <w:font w:name="Microsoft YaHei Western">
    <w:altName w:val="Courier New"/>
    <w:panose1 w:val="00000000000000000000"/>
    <w:charset w:val="00"/>
    <w:family w:val="auto"/>
    <w:pitch w:val="default"/>
    <w:sig w:usb0="00000000" w:usb1="00000000" w:usb2="00000000" w:usb3="00000000" w:csb0="00000001" w:csb1="00000000"/>
  </w:font>
  <w:font w:name="Microsoft YaHei Greek">
    <w:altName w:val="Courier New"/>
    <w:panose1 w:val="00000000000000000000"/>
    <w:charset w:val="A1"/>
    <w:family w:val="auto"/>
    <w:pitch w:val="default"/>
    <w:sig w:usb0="00000000" w:usb1="00000000" w:usb2="00000000" w:usb3="00000000" w:csb0="00000008" w:csb1="00000000"/>
  </w:font>
  <w:font w:name="Kozuka Gothic Pro R">
    <w:altName w:val="Segoe Script"/>
    <w:panose1 w:val="020B0400000000000000"/>
    <w:charset w:val="00"/>
    <w:family w:val="auto"/>
    <w:pitch w:val="default"/>
    <w:sig w:usb0="00000083" w:usb1="2AC71C11" w:usb2="00000012" w:usb3="00000000" w:csb0="20020005" w:csb1="00000000"/>
  </w:font>
  <w:font w:name="Arial Bold">
    <w:altName w:val="Arial"/>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Haettenschweiler">
    <w:altName w:val="Segoe Print"/>
    <w:panose1 w:val="020B0706040902060204"/>
    <w:charset w:val="00"/>
    <w:family w:val="auto"/>
    <w:pitch w:val="default"/>
    <w:sig w:usb0="00000287" w:usb1="00000000" w:usb2="00000000" w:usb3="00000000" w:csb0="0000009F" w:csb1="DFD70000"/>
  </w:font>
  <w:font w:name="方正黑体_GBK">
    <w:altName w:val="宋体"/>
    <w:panose1 w:val="03000509000000000000"/>
    <w:charset w:val="86"/>
    <w:family w:val="auto"/>
    <w:pitch w:val="default"/>
    <w:sig w:usb0="00000001" w:usb1="080E0000" w:usb2="00000000" w:usb3="00000000" w:csb0="00040000" w:csb1="00000000"/>
  </w:font>
  <w:font w:name="Bodoni MT Black">
    <w:altName w:val="Segoe Print"/>
    <w:panose1 w:val="02070A03080606020203"/>
    <w:charset w:val="00"/>
    <w:family w:val="auto"/>
    <w:pitch w:val="default"/>
    <w:sig w:usb0="00000003"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Ìå Western">
    <w:altName w:val="Segoe Print"/>
    <w:panose1 w:val="00000000000000000000"/>
    <w:charset w:val="00"/>
    <w:family w:val="auto"/>
    <w:pitch w:val="default"/>
    <w:sig w:usb0="00000000" w:usb1="00000000" w:usb2="00000000" w:usb3="00000000" w:csb0="00000001" w:csb1="00000000"/>
  </w:font>
  <w:font w:name="TTF46827ACtCID-WinCharSetFFFF-H">
    <w:altName w:val="宋体"/>
    <w:panose1 w:val="00000000000000000000"/>
    <w:charset w:val="86"/>
    <w:family w:val="auto"/>
    <w:pitch w:val="default"/>
    <w:sig w:usb0="00000001" w:usb1="080E0000" w:usb2="00000010" w:usb3="00000000" w:csb0="00040000" w:csb1="00000000"/>
  </w:font>
  <w:font w:name="FZKTK--GBK1-0">
    <w:altName w:val="方正舒体"/>
    <w:panose1 w:val="00000000000000000000"/>
    <w:charset w:val="86"/>
    <w:family w:val="auto"/>
    <w:pitch w:val="default"/>
    <w:sig w:usb0="00000001" w:usb1="080E0000" w:usb2="00000010" w:usb3="00000000" w:csb0="00040000" w:csb1="00000000"/>
  </w:font>
  <w:font w:name="AdobeHeitiStd-Regular">
    <w:altName w:val="方正舒体"/>
    <w:panose1 w:val="00000000000000000000"/>
    <w:charset w:val="86"/>
    <w:family w:val="auto"/>
    <w:pitch w:val="default"/>
    <w:sig w:usb0="00000001" w:usb1="080E0000" w:usb2="00000010" w:usb3="00000000" w:csb0="00040000" w:csb1="00000000"/>
  </w:font>
  <w:font w:name="DLF-3-0-731480057+ZIfHVI-97">
    <w:altName w:val="方正舒体"/>
    <w:panose1 w:val="00000000000000000000"/>
    <w:charset w:val="86"/>
    <w:family w:val="auto"/>
    <w:pitch w:val="default"/>
    <w:sig w:usb0="00000001" w:usb1="080E0000" w:usb2="00000010" w:usb3="00000000" w:csb0="00040000" w:csb1="00000000"/>
  </w:font>
  <w:font w:name="FZDBSK--GBK1-0">
    <w:altName w:val="方正舒体"/>
    <w:panose1 w:val="00000000000000000000"/>
    <w:charset w:val="86"/>
    <w:family w:val="auto"/>
    <w:pitch w:val="default"/>
    <w:sig w:usb0="00000001" w:usb1="080E0000" w:usb2="00000010" w:usb3="00000000" w:csb0="00040000" w:csb1="00000000"/>
  </w:font>
  <w:font w:name="NEU-BZ-Regular">
    <w:altName w:val="方正舒体"/>
    <w:panose1 w:val="00000000000000000000"/>
    <w:charset w:val="86"/>
    <w:family w:val="auto"/>
    <w:pitch w:val="default"/>
    <w:sig w:usb0="00000001" w:usb1="080E0000" w:usb2="00000010" w:usb3="00000000" w:csb0="00040000" w:csb1="00000000"/>
  </w:font>
  <w:font w:name="HYb1gj">
    <w:altName w:val="宋体"/>
    <w:panose1 w:val="00000000000000000000"/>
    <w:charset w:val="86"/>
    <w:family w:val="auto"/>
    <w:pitch w:val="default"/>
    <w:sig w:usb0="00000001" w:usb1="080E0000" w:usb2="00000010" w:usb3="00000000" w:csb0="00040000" w:csb1="00000000"/>
  </w:font>
  <w:font w:name="Bookman Old Style">
    <w:altName w:val="Segoe Print"/>
    <w:panose1 w:val="02050604050505020204"/>
    <w:charset w:val="00"/>
    <w:family w:val="auto"/>
    <w:pitch w:val="default"/>
    <w:sig w:usb0="00000287" w:usb1="00000000" w:usb2="00000000" w:usb3="00000000" w:csb0="2000009F" w:csb1="DFD70000"/>
  </w:font>
  <w:font w:name="µÈÏß Western">
    <w:altName w:val="宋体"/>
    <w:panose1 w:val="00000000000000000000"/>
    <w:charset w:val="00"/>
    <w:family w:val="auto"/>
    <w:pitch w:val="default"/>
    <w:sig w:usb0="00000000" w:usb1="00000000" w:usb2="00000000" w:usb3="00000000" w:csb0="00000001" w:csb1="00000000"/>
  </w:font>
  <w:font w:name="µČĎß CE">
    <w:altName w:val="宋体"/>
    <w:panose1 w:val="00000000000000000000"/>
    <w:charset w:val="EE"/>
    <w:family w:val="auto"/>
    <w:pitch w:val="default"/>
    <w:sig w:usb0="00000000" w:usb1="00000000" w:usb2="00000000" w:usb3="00000000" w:csb0="00000002" w:csb1="00000000"/>
  </w:font>
  <w:font w:name="µИПЯ Cyr">
    <w:altName w:val="宋体"/>
    <w:panose1 w:val="00000000000000000000"/>
    <w:charset w:val="CC"/>
    <w:family w:val="auto"/>
    <w:pitch w:val="default"/>
    <w:sig w:usb0="00000000" w:usb1="00000000" w:usb2="00000000" w:usb3="00000000" w:csb0="00000004" w:csb1="00000000"/>
  </w:font>
  <w:font w:name="µΘΟί Greek">
    <w:altName w:val="宋体"/>
    <w:panose1 w:val="00000000000000000000"/>
    <w:charset w:val="A1"/>
    <w:family w:val="auto"/>
    <w:pitch w:val="default"/>
    <w:sig w:usb0="00000000" w:usb1="00000000" w:usb2="00000000" w:usb3="00000000" w:csb0="00000008" w:csb1="00000000"/>
  </w:font>
  <w:font w:name="Wingdings 2">
    <w:panose1 w:val="05020102010507070707"/>
    <w:charset w:val="02"/>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PMingLiU">
    <w:panose1 w:val="02020500000000000000"/>
    <w:charset w:val="00"/>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24"/>
      </w:tabs>
      <w:rPr>
        <w:rFonts w:hint="default" w:ascii="Times New Roman" w:hAnsi="Times New Roman" w:cs="Times New Roman"/>
      </w:rPr>
    </w:pPr>
    <w:r>
      <w:rPr>
        <w:rFonts w:ascii="Calibri" w:hAnsi="Calibri" w:eastAsia="宋体" w:cs="黑体"/>
        <w:kern w:val="2"/>
        <w:sz w:val="21"/>
        <w:szCs w:val="22"/>
        <w:lang w:val="en-US" w:eastAsia="zh-CN" w:bidi="ar-SA"/>
      </w:rPr>
      <w:pict>
        <v:shape id="文本框1116" o:spid="_x0000_s1025"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r>
      <w:rPr>
        <w:rFonts w:hint="default" w:ascii="Times New Roman" w:hAnsi="Times New Roman" w:cs="Times New Roman"/>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unhideWhenUsed/>
    <w:qFormat/>
    <w:uiPriority w:val="9"/>
    <w:pPr>
      <w:keepNext/>
      <w:keepLines/>
      <w:spacing w:before="260" w:after="260" w:line="413" w:lineRule="auto"/>
      <w:jc w:val="center"/>
      <w:outlineLvl w:val="1"/>
    </w:pPr>
    <w:rPr>
      <w:rFonts w:ascii="Arial" w:hAnsi="Arial" w:eastAsia="黑体" w:cs="Times New Roman"/>
      <w:b/>
      <w:sz w:val="32"/>
    </w:rPr>
  </w:style>
  <w:style w:type="character" w:default="1" w:styleId="17">
    <w:name w:val="Default Paragraph Font"/>
    <w:semiHidden/>
    <w:unhideWhenUsed/>
    <w:uiPriority w:val="1"/>
  </w:style>
  <w:style w:type="paragraph" w:styleId="4">
    <w:name w:val="toc 7"/>
    <w:basedOn w:val="1"/>
    <w:next w:val="1"/>
    <w:semiHidden/>
    <w:unhideWhenUsed/>
    <w:uiPriority w:val="39"/>
    <w:pPr>
      <w:ind w:left="2520" w:leftChars="1200"/>
    </w:pPr>
  </w:style>
  <w:style w:type="paragraph" w:styleId="5">
    <w:name w:val="Body Text"/>
    <w:basedOn w:val="1"/>
    <w:semiHidden/>
    <w:unhideWhenUsed/>
    <w:uiPriority w:val="99"/>
    <w:pPr>
      <w:autoSpaceDE w:val="0"/>
      <w:autoSpaceDN w:val="0"/>
      <w:ind w:left="1360"/>
      <w:jc w:val="left"/>
    </w:pPr>
    <w:rPr>
      <w:rFonts w:hint="eastAsia" w:ascii="仿宋" w:hAnsi="仿宋" w:eastAsia="仿宋"/>
      <w:kern w:val="0"/>
      <w:sz w:val="30"/>
    </w:rPr>
  </w:style>
  <w:style w:type="paragraph" w:styleId="6">
    <w:name w:val="toc 5"/>
    <w:basedOn w:val="1"/>
    <w:next w:val="1"/>
    <w:semiHidden/>
    <w:unhideWhenUsed/>
    <w:uiPriority w:val="39"/>
    <w:pPr>
      <w:ind w:left="1680" w:leftChars="800"/>
    </w:pPr>
  </w:style>
  <w:style w:type="paragraph" w:styleId="7">
    <w:name w:val="toc 3"/>
    <w:basedOn w:val="1"/>
    <w:next w:val="1"/>
    <w:semiHidden/>
    <w:unhideWhenUsed/>
    <w:uiPriority w:val="39"/>
    <w:pPr>
      <w:ind w:left="840" w:leftChars="400"/>
    </w:pPr>
  </w:style>
  <w:style w:type="paragraph" w:styleId="8">
    <w:name w:val="toc 8"/>
    <w:basedOn w:val="1"/>
    <w:next w:val="1"/>
    <w:semiHidden/>
    <w:unhideWhenUsed/>
    <w:uiPriority w:val="39"/>
    <w:pPr>
      <w:ind w:left="2940" w:leftChars="1400"/>
    </w:p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uiPriority w:val="39"/>
  </w:style>
  <w:style w:type="paragraph" w:styleId="12">
    <w:name w:val="toc 4"/>
    <w:basedOn w:val="1"/>
    <w:next w:val="1"/>
    <w:semiHidden/>
    <w:unhideWhenUsed/>
    <w:uiPriority w:val="39"/>
    <w:pPr>
      <w:ind w:left="1260" w:leftChars="600"/>
    </w:pPr>
  </w:style>
  <w:style w:type="paragraph" w:styleId="13">
    <w:name w:val="footnote text"/>
    <w:basedOn w:val="1"/>
    <w:semiHidden/>
    <w:unhideWhenUsed/>
    <w:uiPriority w:val="99"/>
    <w:pPr>
      <w:snapToGrid w:val="0"/>
      <w:jc w:val="left"/>
    </w:pPr>
    <w:rPr>
      <w:rFonts w:hint="eastAsia" w:ascii="Times New Roman" w:hAnsi="Times New Roman" w:eastAsia="Times New Roman"/>
      <w:sz w:val="18"/>
    </w:rPr>
  </w:style>
  <w:style w:type="paragraph" w:styleId="14">
    <w:name w:val="toc 6"/>
    <w:basedOn w:val="1"/>
    <w:next w:val="1"/>
    <w:semiHidden/>
    <w:unhideWhenUsed/>
    <w:uiPriority w:val="39"/>
    <w:pPr>
      <w:ind w:left="2100" w:leftChars="1000"/>
    </w:pPr>
  </w:style>
  <w:style w:type="paragraph" w:styleId="15">
    <w:name w:val="toc 2"/>
    <w:basedOn w:val="1"/>
    <w:next w:val="1"/>
    <w:semiHidden/>
    <w:unhideWhenUsed/>
    <w:uiPriority w:val="39"/>
    <w:pPr>
      <w:ind w:left="420" w:leftChars="200"/>
    </w:pPr>
  </w:style>
  <w:style w:type="paragraph" w:styleId="16">
    <w:name w:val="toc 9"/>
    <w:basedOn w:val="1"/>
    <w:next w:val="1"/>
    <w:semiHidden/>
    <w:unhideWhenUsed/>
    <w:uiPriority w:val="39"/>
    <w:pPr>
      <w:ind w:left="3360" w:leftChars="1600"/>
    </w:pPr>
  </w:style>
  <w:style w:type="character" w:styleId="18">
    <w:name w:val="Hyperlink"/>
    <w:basedOn w:val="17"/>
    <w:semiHidden/>
    <w:unhideWhenUsed/>
    <w:uiPriority w:val="99"/>
    <w:rPr>
      <w:rFonts w:hint="default" w:ascii="ˎ̥" w:hAnsi="ˎ̥" w:eastAsia="宋体"/>
      <w:color w:val="0453CC"/>
    </w:rPr>
  </w:style>
  <w:style w:type="character" w:styleId="19">
    <w:name w:val="footnote reference"/>
    <w:semiHidden/>
    <w:unhideWhenUsed/>
    <w:uiPriority w:val="99"/>
    <w:rPr>
      <w:rFonts w:hint="eastAsia" w:ascii="Times New Roman" w:hAnsi="Times New Roman" w:eastAsia="Times New Roman"/>
      <w:vertAlign w:val="superscript"/>
    </w:rPr>
  </w:style>
  <w:style w:type="paragraph" w:customStyle="1" w:styleId="20">
    <w:name w:val="Default"/>
    <w:uiPriority w:val="0"/>
    <w:pPr>
      <w:widowControl w:val="0"/>
      <w:autoSpaceDE w:val="0"/>
      <w:autoSpaceDN w:val="0"/>
      <w:adjustRightInd w:val="0"/>
    </w:pPr>
    <w:rPr>
      <w:rFonts w:ascii="Calibri" w:hAnsi="Calibri" w:cs="Calibri"/>
      <w:color w:val="000000"/>
      <w:sz w:val="24"/>
      <w:szCs w:val="24"/>
    </w:rPr>
  </w:style>
  <w:style w:type="paragraph" w:customStyle="1" w:styleId="21">
    <w:name w:val="Table Paragraph"/>
    <w:basedOn w:val="1"/>
    <w:unhideWhenUsed/>
    <w:uiPriority w:val="0"/>
    <w:pPr>
      <w:autoSpaceDE w:val="0"/>
      <w:autoSpaceDN w:val="0"/>
      <w:jc w:val="left"/>
    </w:pPr>
    <w:rPr>
      <w:rFonts w:hint="eastAsia" w:ascii="仿宋" w:hAnsi="仿宋" w:eastAsia="仿宋"/>
      <w:kern w:val="0"/>
      <w:sz w:val="22"/>
    </w:rPr>
  </w:style>
  <w:style w:type="paragraph" w:customStyle="1" w:styleId="22">
    <w:name w:val="列出段落1"/>
    <w:basedOn w:val="1"/>
    <w:unhideWhenUsed/>
    <w:qFormat/>
    <w:uiPriority w:val="99"/>
    <w:pPr>
      <w:ind w:firstLine="420" w:firstLineChars="200"/>
    </w:pPr>
  </w:style>
  <w:style w:type="paragraph" w:customStyle="1" w:styleId="23">
    <w:name w:val="p0"/>
    <w:basedOn w:val="1"/>
    <w:unhideWhenUsed/>
    <w:qFormat/>
    <w:uiPriority w:val="0"/>
    <w:pPr>
      <w:widowControl/>
    </w:pPr>
    <w:rPr>
      <w:kern w:val="0"/>
    </w:rPr>
  </w:style>
  <w:style w:type="paragraph" w:customStyle="1" w:styleId="24">
    <w:name w:val="列出段落11"/>
    <w:basedOn w:val="1"/>
    <w:unhideWhenUsed/>
    <w:qFormat/>
    <w:uiPriority w:val="34"/>
    <w:pPr>
      <w:ind w:firstLine="420" w:firstLineChars="200"/>
    </w:pPr>
  </w:style>
  <w:style w:type="paragraph" w:customStyle="1" w:styleId="25">
    <w:name w:val="列出段落4"/>
    <w:basedOn w:val="1"/>
    <w:unhideWhenUsed/>
    <w:qFormat/>
    <w:uiPriority w:val="0"/>
    <w:pPr>
      <w:ind w:firstLine="200" w:firstLineChars="200"/>
    </w:pPr>
  </w:style>
  <w:style w:type="character" w:customStyle="1" w:styleId="26">
    <w:name w:val="mini-outputtext"/>
    <w:basedOn w:val="17"/>
    <w:unhideWhenUsed/>
    <w:uiPriority w:val="0"/>
    <w:rPr>
      <w:rFonts w:hint="eastAsia" w:ascii="Times New Roman" w:hAnsi="Times New Roman" w:eastAsia="Times New Roman"/>
    </w:rPr>
  </w:style>
  <w:style w:type="character" w:customStyle="1" w:styleId="27">
    <w:name w:val="页脚 Char Char"/>
    <w:basedOn w:val="17"/>
    <w:link w:val="9"/>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252</Pages>
  <Words>21532</Words>
  <Characters>125266</Characters>
  <Lines>1022</Lines>
  <Paragraphs>287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2022-04-21T07:00:00Z</dcterms:created>
  <cp:lastModifiedBy>马东水</cp:lastModifiedBy>
  <dcterms:modified xsi:type="dcterms:W3CDTF">2022-06-23T03:32:13Z</dcterms:modified>
  <dc:title>国际收支项目行政审批服务指南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